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 w14:paraId="00000002">
      <w:pPr>
        <w:spacing w:line="384" w:lineRule="auto"/>
        <w:jc w:val="center"/>
        <w:rPr>
          <w:rFonts w:ascii="Cambria" w:cs="Times New Roman" w:hAnsi="Cambria"/>
          <w:b/>
          <w:bCs/>
          <w:lang w:val="hu-HU"/>
        </w:rPr>
      </w:pPr>
      <w:r>
        <w:rPr>
          <w:rFonts w:ascii="Cambria" w:cs="Times New Roman" w:hAnsi="Cambria"/>
          <w:b/>
          <w:bCs/>
          <w:lang w:val="hu-HU"/>
        </w:rPr>
        <w:t xml:space="preserve">A TANTÁRGY ADATLAPJA </w:t>
      </w:r>
    </w:p>
    <w:p w14:paraId="00000003">
      <w:pPr>
        <w:spacing w:line="384" w:lineRule="auto"/>
        <w:jc w:val="center"/>
        <w:rPr>
          <w:rFonts w:ascii="Cambria" w:cs="Times New Roman" w:hAnsi="Cambria"/>
          <w:b/>
          <w:bCs/>
          <w:lang w:val="hu-HU"/>
        </w:rPr>
      </w:pPr>
      <w:r>
        <w:rPr>
          <w:rFonts w:ascii="Cambria" w:cs="Times New Roman" w:hAnsi="Cambria"/>
          <w:b/>
          <w:bCs/>
          <w:lang w:val="hu-HU"/>
        </w:rPr>
        <w:t>Színházi alkotóműhely</w:t>
      </w:r>
    </w:p>
    <w:p w14:paraId="00000004">
      <w:pPr>
        <w:spacing w:line="384" w:lineRule="auto"/>
        <w:jc w:val="center"/>
        <w:rPr>
          <w:rFonts w:ascii="Cambria" w:cs="Times New Roman" w:hAnsi="Cambria"/>
          <w:lang w:val="hu-HU"/>
        </w:rPr>
      </w:pPr>
      <w:r>
        <w:rPr>
          <w:rFonts w:ascii="Cambria" w:cs="Times New Roman" w:hAnsi="Cambria"/>
          <w:lang w:val="hu-HU"/>
        </w:rPr>
        <w:t>Egyetemi</w:t>
      </w:r>
      <w:r>
        <w:rPr>
          <w:rFonts w:ascii="Cambria" w:cs="Times New Roman" w:hAnsi="Cambria"/>
          <w:lang w:val="hu-HU"/>
        </w:rPr>
        <w:t xml:space="preserve"> tanév</w:t>
      </w:r>
      <w:r>
        <w:rPr>
          <w:rFonts w:ascii="Cambria" w:cs="Times New Roman" w:hAnsi="Cambria"/>
          <w:lang w:val="hu-HU"/>
        </w:rPr>
        <w:t xml:space="preserve"> 2025-2026</w:t>
      </w:r>
    </w:p>
    <w:p w14:paraId="00000005">
      <w:pPr>
        <w:spacing w:after="0" w:line="240" w:lineRule="auto"/>
        <w:ind w:left="142" w:hanging="567"/>
        <w:rPr>
          <w:rFonts w:ascii="Cambria" w:cs="Times New Roman" w:hAnsi="Cambria"/>
          <w:b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1. </w:t>
      </w:r>
      <w:r>
        <w:rPr>
          <w:rFonts w:ascii="Cambria" w:cs="Times New Roman" w:hAnsi="Cambria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545"/>
        <w:gridCol w:w="6946"/>
      </w:tblGrid>
      <w:tr>
        <w:trPr>
          <w:trHeight w:val="284"/>
        </w:trPr>
        <w:tc>
          <w:tcPr>
            <w:cnfStyle w:val="000010100000"/>
            <w:tcW w:w="3545" w:type="dxa"/>
            <w:vAlign w:val="center"/>
          </w:tcPr>
          <w:p w14:paraId="00000006">
            <w:pPr>
              <w:keepNext w:val="on"/>
              <w:spacing w:after="0" w:line="240" w:lineRule="auto"/>
              <w:ind w:left="34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1.1.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cnfStyle w:val="000001100000"/>
            <w:tcW w:w="6946" w:type="dxa"/>
            <w:vAlign w:val="center"/>
          </w:tcPr>
          <w:p w14:paraId="00000007">
            <w:pPr>
              <w:keepNext w:val="on"/>
              <w:spacing w:after="0" w:line="240" w:lineRule="auto"/>
              <w:ind w:left="90" w:right="-625"/>
              <w:jc w:val="both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 w:val="off"/>
                <w:bCs w:val="off"/>
                <w:sz w:val="20"/>
                <w:szCs w:val="20"/>
                <w:lang w:val="hu-HU"/>
              </w:rPr>
              <w:t>Babeș-Bolyai Tudományegyetem</w:t>
            </w:r>
          </w:p>
        </w:tc>
      </w:tr>
      <w:tr>
        <w:trPr>
          <w:trHeight w:val="284"/>
        </w:trPr>
        <w:tc>
          <w:tcPr>
            <w:cnfStyle w:val="000010010000"/>
            <w:tcW w:w="3545" w:type="dxa"/>
            <w:vAlign w:val="center"/>
          </w:tcPr>
          <w:p w14:paraId="00000008">
            <w:pPr>
              <w:keepNext w:val="on"/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1.2.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cnfStyle w:val="000001010000"/>
            <w:tcW w:w="6946" w:type="dxa"/>
            <w:vAlign w:val="center"/>
          </w:tcPr>
          <w:p w14:paraId="00000009">
            <w:pPr>
              <w:keepNext w:val="on"/>
              <w:spacing w:after="0" w:line="240" w:lineRule="auto"/>
              <w:ind w:left="90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>
        <w:trPr>
          <w:trHeight w:val="284"/>
        </w:trPr>
        <w:tc>
          <w:tcPr>
            <w:cnfStyle w:val="000010100000"/>
            <w:tcW w:w="3545" w:type="dxa"/>
            <w:vAlign w:val="center"/>
          </w:tcPr>
          <w:p w14:paraId="0000000A">
            <w:pPr>
              <w:keepNext w:val="on"/>
              <w:spacing w:after="0" w:line="240" w:lineRule="auto"/>
              <w:ind w:left="34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1.3.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cnfStyle w:val="000001100000"/>
            <w:tcW w:w="6946" w:type="dxa"/>
            <w:vAlign w:val="center"/>
          </w:tcPr>
          <w:p w14:paraId="0000000B">
            <w:pPr>
              <w:keepNext w:val="on"/>
              <w:spacing w:after="0" w:line="240" w:lineRule="auto"/>
              <w:ind w:left="90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>
        <w:trPr>
          <w:trHeight w:val="284"/>
        </w:trPr>
        <w:tc>
          <w:tcPr>
            <w:cnfStyle w:val="000010010000"/>
            <w:tcW w:w="3545" w:type="dxa"/>
            <w:vAlign w:val="center"/>
          </w:tcPr>
          <w:p w14:paraId="0000000C">
            <w:pPr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1.4.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cnfStyle w:val="000001010000"/>
            <w:tcW w:w="6946" w:type="dxa"/>
            <w:vAlign w:val="center"/>
          </w:tcPr>
          <w:p w14:paraId="0000000D">
            <w:pPr>
              <w:keepNext w:val="on"/>
              <w:spacing w:after="0" w:line="240" w:lineRule="auto"/>
              <w:ind w:left="90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>
        <w:trPr>
          <w:trHeight w:val="284"/>
        </w:trPr>
        <w:tc>
          <w:tcPr>
            <w:cnfStyle w:val="000010100000"/>
            <w:tcW w:w="3545" w:type="dxa"/>
            <w:vAlign w:val="center"/>
          </w:tcPr>
          <w:p w14:paraId="0000000E">
            <w:pPr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1.5.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cnfStyle w:val="000001100000"/>
            <w:tcW w:w="6946" w:type="dxa"/>
            <w:vAlign w:val="center"/>
          </w:tcPr>
          <w:p w14:paraId="0000000F">
            <w:pPr>
              <w:keepNext w:val="on"/>
              <w:spacing w:after="0" w:line="240" w:lineRule="auto"/>
              <w:ind w:left="90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Alapképzés</w:t>
            </w:r>
          </w:p>
        </w:tc>
      </w:tr>
      <w:tr>
        <w:trPr>
          <w:trHeight w:val="284"/>
        </w:trPr>
        <w:tc>
          <w:tcPr>
            <w:cnfStyle w:val="000010010000"/>
            <w:tcW w:w="3545" w:type="dxa"/>
            <w:vAlign w:val="center"/>
          </w:tcPr>
          <w:p w14:paraId="00000010">
            <w:pPr>
              <w:keepNext w:val="on"/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1.6.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Tanulmányi program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 / Képesítés</w:t>
            </w:r>
          </w:p>
        </w:tc>
        <w:tc>
          <w:tcPr>
            <w:cnfStyle w:val="000001010000"/>
            <w:tcW w:w="6946" w:type="dxa"/>
            <w:vAlign w:val="center"/>
          </w:tcPr>
          <w:p w14:paraId="00000011">
            <w:pPr>
              <w:keepNext w:val="on"/>
              <w:spacing w:after="0" w:line="240" w:lineRule="auto"/>
              <w:ind w:left="90"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Teatrológia</w:t>
            </w:r>
          </w:p>
        </w:tc>
      </w:tr>
      <w:tr>
        <w:trPr>
          <w:trHeight w:val="284"/>
        </w:trPr>
        <w:tc>
          <w:tcPr>
            <w:cnfStyle w:val="000010100000"/>
            <w:tcW w:w="3545" w:type="dxa"/>
            <w:vAlign w:val="center"/>
          </w:tcPr>
          <w:p w14:paraId="00000012">
            <w:pPr>
              <w:keepNext w:val="on"/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1.7.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Képzési forma</w:t>
            </w:r>
          </w:p>
        </w:tc>
        <w:tc>
          <w:tcPr>
            <w:cnfStyle w:val="000001100000"/>
            <w:tcW w:w="6946" w:type="dxa"/>
            <w:vAlign w:val="center"/>
          </w:tcPr>
          <w:p w14:paraId="00000013">
            <w:pPr>
              <w:keepNext w:val="on"/>
              <w:spacing w:after="0" w:line="240" w:lineRule="auto"/>
              <w:ind w:right="-625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  Nappali képzés</w:t>
            </w:r>
          </w:p>
        </w:tc>
      </w:tr>
    </w:tbl>
    <w:p w14:paraId="00000014">
      <w:pPr>
        <w:spacing w:after="0"/>
        <w:rPr>
          <w:rFonts w:ascii="Cambria" w:cs="Times New Roman" w:hAnsi="Cambria"/>
          <w:b/>
          <w:sz w:val="22"/>
          <w:szCs w:val="22"/>
          <w:lang w:val="hu-HU"/>
        </w:rPr>
      </w:pPr>
    </w:p>
    <w:p w14:paraId="00000015">
      <w:pPr>
        <w:spacing w:after="0" w:line="240" w:lineRule="auto"/>
        <w:ind w:left="142" w:hanging="567"/>
        <w:rPr>
          <w:rFonts w:ascii="Cambria" w:cs="Times New Roman" w:hAnsi="Cambria"/>
          <w:b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2. </w:t>
      </w:r>
      <w:r>
        <w:rPr>
          <w:rFonts w:ascii="Cambria" w:cs="Times New Roman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>
        <w:trPr>
          <w:trHeight w:val="284"/>
        </w:trPr>
        <w:tc>
          <w:tcPr>
            <w:cnfStyle w:val="000010100000"/>
            <w:tcW w:w="2151" w:type="dxa"/>
            <w:gridSpan w:val="2"/>
            <w:vAlign w:val="center"/>
          </w:tcPr>
          <w:p w14:paraId="00000016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2.1.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cnfStyle w:val="000001100000"/>
            <w:tcW w:w="4962" w:type="dxa"/>
            <w:gridSpan w:val="5"/>
            <w:vAlign w:val="center"/>
          </w:tcPr>
          <w:p w14:paraId="00000017">
            <w:pPr>
              <w:spacing w:after="0" w:line="384" w:lineRule="auto"/>
              <w:jc w:val="left"/>
              <w:rPr>
                <w:rFonts w:ascii="Cambria" w:cs="Times New Roman" w:eastAsia="Times New Roman" w:hAnsi="Cambria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hAnsi="Cambria"/>
                <w:b/>
                <w:bCs/>
                <w:lang w:val="hu-HU"/>
              </w:rPr>
              <w:t>Színházi alkotóműhely</w:t>
            </w:r>
          </w:p>
        </w:tc>
        <w:tc>
          <w:tcPr>
            <w:cnfStyle w:val="000010100000"/>
            <w:tcW w:w="1701" w:type="dxa"/>
            <w:vAlign w:val="center"/>
          </w:tcPr>
          <w:p w14:paraId="00000018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cnfStyle w:val="000001100000"/>
            <w:tcW w:w="1701" w:type="dxa"/>
            <w:gridSpan w:val="2"/>
            <w:vAlign w:val="center"/>
          </w:tcPr>
          <w:p w14:paraId="00000019">
            <w:pPr>
              <w:spacing w:after="0" w:line="240" w:lineRule="auto"/>
              <w:rPr>
                <w:rFonts w:ascii="Cambria" w:cs="Times New Roman" w:eastAsia="Times New Roman" w:hAnsi="Cambria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eastAsia="zh-CN"/>
              </w:rPr>
              <w:t>VLM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ro-RO" w:eastAsia="zh-CN"/>
              </w:rPr>
              <w:t>2710</w:t>
            </w:r>
          </w:p>
        </w:tc>
      </w:tr>
      <w:tr>
        <w:trPr>
          <w:trHeight w:val="284"/>
        </w:trPr>
        <w:tc>
          <w:tcPr>
            <w:cnfStyle w:val="000010010000"/>
            <w:tcW w:w="3711" w:type="dxa"/>
            <w:gridSpan w:val="4"/>
            <w:vAlign w:val="center"/>
          </w:tcPr>
          <w:p w14:paraId="0000001A">
            <w:pPr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2.2.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cnfStyle w:val="000001010000"/>
            <w:tcW w:w="6804" w:type="dxa"/>
            <w:gridSpan w:val="6"/>
            <w:vAlign w:val="center"/>
          </w:tcPr>
          <w:p w14:paraId="0000001B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</w:p>
        </w:tc>
      </w:tr>
      <w:tr>
        <w:trPr>
          <w:trHeight w:val="284"/>
        </w:trPr>
        <w:tc>
          <w:tcPr>
            <w:cnfStyle w:val="000010100000"/>
            <w:tcW w:w="3711" w:type="dxa"/>
            <w:gridSpan w:val="4"/>
            <w:tcBorders>
              <w:bottom w:val="single" w:color="auto" w:sz="4" w:space="0"/>
            </w:tcBorders>
            <w:vAlign w:val="center"/>
          </w:tcPr>
          <w:p w14:paraId="0000001C">
            <w:pPr>
              <w:spacing w:after="0" w:line="240" w:lineRule="auto"/>
              <w:ind w:left="34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2.3.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cnfStyle w:val="000001100000"/>
            <w:tcW w:w="6804" w:type="dxa"/>
            <w:gridSpan w:val="6"/>
            <w:tcBorders>
              <w:bottom w:val="single" w:color="auto" w:sz="4" w:space="0"/>
            </w:tcBorders>
            <w:vAlign w:val="center"/>
          </w:tcPr>
          <w:p w14:paraId="0000001D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Dr. Pál Emőke</w:t>
            </w:r>
          </w:p>
        </w:tc>
      </w:tr>
      <w:tr>
        <w:trPr>
          <w:trHeight w:val="284"/>
        </w:trPr>
        <w:tc>
          <w:tcPr>
            <w:cnfStyle w:val="000010010000"/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1E">
            <w:pPr>
              <w:spacing w:after="0" w:line="240" w:lineRule="auto"/>
              <w:ind w:left="34"/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 xml:space="preserve">2.4. </w:t>
            </w: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cnfStyle w:val="000001010000"/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1F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cnfStyle w:val="000010010000"/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20">
            <w:pPr>
              <w:spacing w:after="0" w:line="240" w:lineRule="auto"/>
              <w:ind w:right="-203"/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 xml:space="preserve">2.5. </w:t>
            </w: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 xml:space="preserve">Félév </w:t>
            </w:r>
          </w:p>
        </w:tc>
        <w:tc>
          <w:tcPr>
            <w:cnfStyle w:val="000001010000"/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21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cnfStyle w:val="000010010000"/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22">
            <w:pPr>
              <w:spacing w:after="0" w:line="240" w:lineRule="auto"/>
              <w:ind w:right="-288"/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 xml:space="preserve">2.6. </w:t>
            </w: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cnfStyle w:val="000001010000"/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23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color w:val="auto"/>
                <w:sz w:val="20"/>
                <w:szCs w:val="20"/>
                <w:lang w:val="hu-HU" w:eastAsia="zh-CN"/>
              </w:rPr>
              <w:t>C</w:t>
            </w:r>
          </w:p>
        </w:tc>
        <w:tc>
          <w:tcPr>
            <w:cnfStyle w:val="000010010000"/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0024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2.7.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cnfStyle w:val="000001010000"/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000025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 DD</w:t>
            </w:r>
          </w:p>
        </w:tc>
      </w:tr>
    </w:tbl>
    <w:p w14:paraId="00000026">
      <w:pPr>
        <w:spacing w:after="0"/>
        <w:ind w:right="-765"/>
        <w:rPr>
          <w:rFonts w:ascii="Cambria" w:cs="Times New Roman" w:hAnsi="Cambria"/>
          <w:sz w:val="22"/>
          <w:szCs w:val="22"/>
          <w:lang w:val="hu-HU"/>
        </w:rPr>
      </w:pPr>
    </w:p>
    <w:p w14:paraId="00000027">
      <w:pPr>
        <w:spacing w:after="0" w:line="240" w:lineRule="auto"/>
        <w:ind w:right="-766" w:hanging="426"/>
        <w:rPr>
          <w:rFonts w:ascii="Cambria" w:cs="Times New Roman" w:eastAsia="Times New Roman" w:hAnsi="Cambria"/>
          <w:sz w:val="20"/>
          <w:szCs w:val="20"/>
          <w:lang w:val="hu-HU" w:eastAsia="zh-CN"/>
        </w:rPr>
      </w:pPr>
      <w:r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  <w:t xml:space="preserve">3. </w:t>
      </w:r>
      <w:r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  <w:t xml:space="preserve">Teljes becsült idő </w:t>
      </w:r>
      <w:r>
        <w:rPr>
          <w:rFonts w:ascii="Cambria" w:cs="Times New Roman" w:eastAsia="Times New Roman" w:hAnsi="Cambria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>
        <w:trPr>
          <w:trHeight w:val="284"/>
        </w:trPr>
        <w:tc>
          <w:tcPr>
            <w:cnfStyle w:val="000010100000"/>
            <w:tcW w:w="3539" w:type="dxa"/>
            <w:tcBorders>
              <w:bottom w:val="single" w:color="auto" w:sz="4" w:space="0"/>
            </w:tcBorders>
            <w:vAlign w:val="center"/>
          </w:tcPr>
          <w:p w14:paraId="00000028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Heti óraszám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cnfStyle w:val="000001100000"/>
            <w:tcW w:w="709" w:type="dxa"/>
            <w:tcBorders>
              <w:bottom w:val="single" w:color="auto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cnfStyle w:val="000010100000"/>
            <w:tcW w:w="2126" w:type="dxa"/>
            <w:tcBorders>
              <w:bottom w:val="single" w:color="auto" w:sz="4" w:space="0"/>
            </w:tcBorders>
            <w:vAlign w:val="center"/>
          </w:tcPr>
          <w:p w14:paraId="0000002A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cnfStyle w:val="000001100000"/>
            <w:tcW w:w="567" w:type="dxa"/>
            <w:tcBorders>
              <w:bottom w:val="single" w:color="auto" w:sz="4" w:space="0"/>
            </w:tcBorders>
            <w:vAlign w:val="center"/>
          </w:tcPr>
          <w:p w14:paraId="0000002B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cnfStyle w:val="000010100000"/>
            <w:tcW w:w="2977" w:type="dxa"/>
            <w:gridSpan w:val="2"/>
            <w:tcBorders>
              <w:bottom w:val="single" w:color="auto" w:sz="4" w:space="0"/>
            </w:tcBorders>
            <w:vAlign w:val="center"/>
          </w:tcPr>
          <w:p w14:paraId="0000002C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3.3 szeminárium/labor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cnfStyle w:val="000001100000"/>
            <w:tcW w:w="56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000002D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>
        <w:trPr>
          <w:trHeight w:val="284"/>
        </w:trPr>
        <w:tc>
          <w:tcPr>
            <w:cnfStyle w:val="000010010000"/>
            <w:tcW w:w="3539" w:type="dxa"/>
            <w:shd w:val="clear" w:color="auto" w:fill="auto"/>
            <w:vAlign w:val="center"/>
          </w:tcPr>
          <w:p w14:paraId="0000002E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3.4.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cnfStyle w:val="000001010000"/>
            <w:tcW w:w="709" w:type="dxa"/>
            <w:shd w:val="clear" w:color="auto" w:fill="auto"/>
            <w:vAlign w:val="center"/>
          </w:tcPr>
          <w:p w14:paraId="0000002F">
            <w:pPr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cnfStyle w:val="000010010000"/>
            <w:tcW w:w="2126" w:type="dxa"/>
            <w:shd w:val="clear" w:color="auto" w:fill="auto"/>
            <w:vAlign w:val="center"/>
          </w:tcPr>
          <w:p w14:paraId="00000030">
            <w:pPr>
              <w:spacing w:after="0" w:line="240" w:lineRule="auto"/>
              <w:rPr>
                <w:rFonts w:ascii="Cambria" w:cs="Times New Roman" w:eastAsia="Times New Roman" w:hAnsi="Cambria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cnfStyle w:val="000001010000"/>
            <w:tcW w:w="567" w:type="dxa"/>
            <w:shd w:val="clear" w:color="auto" w:fill="auto"/>
            <w:vAlign w:val="center"/>
          </w:tcPr>
          <w:p w14:paraId="00000031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cnfStyle w:val="000010010000"/>
            <w:tcW w:w="2977" w:type="dxa"/>
            <w:gridSpan w:val="2"/>
            <w:shd w:val="clear" w:color="auto" w:fill="auto"/>
            <w:vAlign w:val="center"/>
          </w:tcPr>
          <w:p w14:paraId="00000032">
            <w:pPr>
              <w:spacing w:after="0" w:line="240" w:lineRule="auto"/>
              <w:rPr>
                <w:rFonts w:ascii="Cambria" w:cs="Times New Roman" w:eastAsia="Times New Roman" w:hAnsi="Cambria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cnfStyle w:val="000001010000"/>
            <w:tcW w:w="567" w:type="dxa"/>
            <w:shd w:val="clear" w:color="auto" w:fill="auto"/>
            <w:vAlign w:val="center"/>
          </w:tcPr>
          <w:p w14:paraId="00000033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>
        <w:trPr>
          <w:trHeight w:val="284"/>
        </w:trPr>
        <w:tc>
          <w:tcPr>
            <w:cnfStyle w:val="000010100000"/>
            <w:tcW w:w="9918" w:type="dxa"/>
            <w:gridSpan w:val="6"/>
            <w:vAlign w:val="center"/>
          </w:tcPr>
          <w:p w14:paraId="00000034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A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z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egyéni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tanulmányi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idő (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E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 (ÖT)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 szánt idő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cnfStyle w:val="000001100000"/>
            <w:tcW w:w="567" w:type="dxa"/>
            <w:shd w:val="clear" w:color="auto" w:fill="auto"/>
            <w:vAlign w:val="center"/>
          </w:tcPr>
          <w:p w14:paraId="00000035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>
        <w:trPr>
          <w:trHeight w:val="284"/>
        </w:trPr>
        <w:tc>
          <w:tcPr>
            <w:cnfStyle w:val="000010010000"/>
            <w:tcW w:w="9918" w:type="dxa"/>
            <w:gridSpan w:val="6"/>
            <w:vAlign w:val="center"/>
          </w:tcPr>
          <w:p w14:paraId="00000036">
            <w:pPr>
              <w:spacing w:after="0" w:line="240" w:lineRule="auto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cnfStyle w:val="000001010000"/>
            <w:tcW w:w="567" w:type="dxa"/>
            <w:shd w:val="clear" w:color="auto" w:fill="auto"/>
            <w:vAlign w:val="center"/>
          </w:tcPr>
          <w:p w14:paraId="00000037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4</w:t>
            </w:r>
          </w:p>
        </w:tc>
      </w:tr>
      <w:tr>
        <w:trPr>
          <w:trHeight w:val="284"/>
        </w:trPr>
        <w:tc>
          <w:tcPr>
            <w:cnfStyle w:val="000010100000"/>
            <w:tcW w:w="9918" w:type="dxa"/>
            <w:gridSpan w:val="6"/>
            <w:vAlign w:val="center"/>
          </w:tcPr>
          <w:p w14:paraId="00000038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cnfStyle w:val="000001100000"/>
            <w:tcW w:w="567" w:type="dxa"/>
            <w:shd w:val="clear" w:color="auto" w:fill="auto"/>
            <w:vAlign w:val="center"/>
          </w:tcPr>
          <w:p w14:paraId="00000039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4</w:t>
            </w:r>
          </w:p>
        </w:tc>
      </w:tr>
      <w:tr>
        <w:trPr>
          <w:trHeight w:val="284"/>
        </w:trPr>
        <w:tc>
          <w:tcPr>
            <w:cnfStyle w:val="000010010000"/>
            <w:tcW w:w="9918" w:type="dxa"/>
            <w:gridSpan w:val="6"/>
            <w:vAlign w:val="center"/>
          </w:tcPr>
          <w:p w14:paraId="0000003A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cnfStyle w:val="000001010000"/>
            <w:tcW w:w="567" w:type="dxa"/>
            <w:shd w:val="clear" w:color="auto" w:fill="auto"/>
            <w:vAlign w:val="center"/>
          </w:tcPr>
          <w:p w14:paraId="0000003B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27</w:t>
            </w:r>
          </w:p>
        </w:tc>
      </w:tr>
      <w:tr>
        <w:trPr>
          <w:trHeight w:val="284"/>
        </w:trPr>
        <w:tc>
          <w:tcPr>
            <w:cnfStyle w:val="000010100000"/>
            <w:tcW w:w="9918" w:type="dxa"/>
            <w:gridSpan w:val="6"/>
            <w:vAlign w:val="center"/>
          </w:tcPr>
          <w:p w14:paraId="0000003C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cnfStyle w:val="000001100000"/>
            <w:tcW w:w="567" w:type="dxa"/>
            <w:shd w:val="clear" w:color="auto" w:fill="auto"/>
            <w:vAlign w:val="center"/>
          </w:tcPr>
          <w:p w14:paraId="0000003D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2</w:t>
            </w:r>
          </w:p>
        </w:tc>
      </w:tr>
      <w:tr>
        <w:trPr>
          <w:trHeight w:val="284"/>
        </w:trPr>
        <w:tc>
          <w:tcPr>
            <w:cnfStyle w:val="000010010000"/>
            <w:tcW w:w="9918" w:type="dxa"/>
            <w:gridSpan w:val="6"/>
            <w:vAlign w:val="center"/>
          </w:tcPr>
          <w:p w14:paraId="0000003E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cnfStyle w:val="000001010000"/>
            <w:tcW w:w="567" w:type="dxa"/>
            <w:shd w:val="clear" w:color="auto" w:fill="auto"/>
            <w:vAlign w:val="center"/>
          </w:tcPr>
          <w:p w14:paraId="0000003F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2</w:t>
            </w:r>
          </w:p>
        </w:tc>
      </w:tr>
      <w:tr>
        <w:trPr>
          <w:trHeight w:val="284"/>
        </w:trPr>
        <w:tc>
          <w:tcPr>
            <w:cnfStyle w:val="000010100000"/>
            <w:tcW w:w="9918" w:type="dxa"/>
            <w:gridSpan w:val="6"/>
            <w:vAlign w:val="center"/>
          </w:tcPr>
          <w:p w14:paraId="00000040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Más tevékenységek: próbák</w:t>
            </w:r>
          </w:p>
        </w:tc>
        <w:tc>
          <w:tcPr>
            <w:cnfStyle w:val="000001100000"/>
            <w:tcW w:w="567" w:type="dxa"/>
            <w:shd w:val="clear" w:color="auto" w:fill="auto"/>
            <w:vAlign w:val="center"/>
          </w:tcPr>
          <w:p w14:paraId="00000041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8</w:t>
            </w:r>
          </w:p>
        </w:tc>
      </w:tr>
      <w:tr>
        <w:trPr>
          <w:trHeight w:val="284"/>
        </w:trPr>
        <w:tc>
          <w:tcPr>
            <w:cnfStyle w:val="000010010000"/>
            <w:tcW w:w="8642" w:type="dxa"/>
            <w:gridSpan w:val="5"/>
            <w:shd w:val="clear" w:color="auto" w:fill="auto"/>
            <w:vAlign w:val="center"/>
          </w:tcPr>
          <w:p w14:paraId="00000042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3.7.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cnfStyle w:val="000001010000"/>
            <w:tcW w:w="1843" w:type="dxa"/>
            <w:gridSpan w:val="2"/>
            <w:shd w:val="clear" w:color="auto" w:fill="auto"/>
            <w:vAlign w:val="center"/>
          </w:tcPr>
          <w:p w14:paraId="00000043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47</w:t>
            </w:r>
          </w:p>
        </w:tc>
      </w:tr>
      <w:tr>
        <w:trPr>
          <w:trHeight w:val="284"/>
        </w:trPr>
        <w:tc>
          <w:tcPr>
            <w:cnfStyle w:val="000010100000"/>
            <w:tcW w:w="8642" w:type="dxa"/>
            <w:gridSpan w:val="5"/>
            <w:shd w:val="clear" w:color="auto" w:fill="auto"/>
            <w:vAlign w:val="center"/>
          </w:tcPr>
          <w:p w14:paraId="00000044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3.8.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cnfStyle w:val="000001100000"/>
            <w:tcW w:w="1843" w:type="dxa"/>
            <w:gridSpan w:val="2"/>
            <w:shd w:val="clear" w:color="auto" w:fill="auto"/>
            <w:vAlign w:val="center"/>
          </w:tcPr>
          <w:p w14:paraId="00000045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>
        <w:trPr>
          <w:trHeight w:val="284"/>
        </w:trPr>
        <w:tc>
          <w:tcPr>
            <w:cnfStyle w:val="000010010000"/>
            <w:tcW w:w="8642" w:type="dxa"/>
            <w:gridSpan w:val="5"/>
            <w:shd w:val="clear" w:color="auto" w:fill="auto"/>
            <w:vAlign w:val="center"/>
          </w:tcPr>
          <w:p w14:paraId="00000046">
            <w:pPr>
              <w:keepNext w:val="on"/>
              <w:spacing w:after="0" w:line="240" w:lineRule="auto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3.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9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 xml:space="preserve">. </w:t>
            </w: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cnfStyle w:val="000001010000"/>
            <w:tcW w:w="1843" w:type="dxa"/>
            <w:gridSpan w:val="2"/>
            <w:shd w:val="clear" w:color="auto" w:fill="auto"/>
            <w:vAlign w:val="center"/>
          </w:tcPr>
          <w:p w14:paraId="00000047">
            <w:pPr>
              <w:keepNext w:val="on"/>
              <w:spacing w:after="0" w:line="240" w:lineRule="auto"/>
              <w:jc w:val="center"/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00000048">
      <w:pPr>
        <w:spacing w:after="0"/>
        <w:ind w:left="-284"/>
        <w:jc w:val="both"/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</w:pPr>
    </w:p>
    <w:p w14:paraId="00000049">
      <w:pPr>
        <w:spacing w:after="0" w:line="240" w:lineRule="auto"/>
        <w:ind w:left="-284" w:hanging="142"/>
        <w:jc w:val="both"/>
        <w:rPr>
          <w:rFonts w:ascii="Cambria" w:cs="Times New Roman" w:eastAsia="Times New Roman" w:hAnsi="Cambria"/>
          <w:sz w:val="20"/>
          <w:szCs w:val="20"/>
          <w:lang w:val="hu-HU" w:eastAsia="zh-CN"/>
        </w:rPr>
      </w:pPr>
      <w:r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  <w:t xml:space="preserve">4. </w:t>
      </w:r>
      <w:r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2127"/>
        <w:gridCol w:w="8364"/>
      </w:tblGrid>
      <w:tr>
        <w:trPr>
          <w:trHeight w:val="284"/>
        </w:trPr>
        <w:tc>
          <w:tcPr>
            <w:cnfStyle w:val="101000000000"/>
            <w:tcW w:w="2127" w:type="dxa"/>
            <w:vAlign w:val="center"/>
          </w:tcPr>
          <w:p w14:paraId="0000004A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4.1.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cnfStyle w:val="100100000000"/>
            <w:tcW w:w="8364" w:type="dxa"/>
            <w:tcBorders>
              <w:bottom w:val="single" w:color="auto" w:sz="4" w:space="0"/>
            </w:tcBorders>
            <w:vAlign w:val="center"/>
          </w:tcPr>
          <w:p w14:paraId="0000004B">
            <w:pPr>
              <w:spacing w:after="0" w:line="240" w:lineRule="auto"/>
              <w:ind w:left="72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</w:p>
        </w:tc>
      </w:tr>
      <w:tr>
        <w:trPr>
          <w:trHeight w:val="284"/>
        </w:trPr>
        <w:tc>
          <w:tcPr>
            <w:cnfStyle w:val="011000000000"/>
            <w:tcW w:w="2127" w:type="dxa"/>
            <w:vAlign w:val="center"/>
          </w:tcPr>
          <w:p w14:paraId="0000004C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4.2.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cnfStyle w:val="010100000000"/>
            <w:tcW w:w="8364" w:type="dxa"/>
            <w:shd w:val="clear" w:color="auto" w:fill="auto"/>
            <w:vAlign w:val="center"/>
          </w:tcPr>
          <w:p w14:paraId="0000004D">
            <w:pPr>
              <w:spacing w:after="0" w:line="240" w:lineRule="auto"/>
              <w:ind w:left="72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</w:p>
        </w:tc>
      </w:tr>
    </w:tbl>
    <w:p w14:paraId="0000004E">
      <w:pPr>
        <w:spacing w:after="0"/>
        <w:ind w:right="-765" w:hanging="425"/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</w:pPr>
    </w:p>
    <w:p w14:paraId="0000004F">
      <w:pPr>
        <w:spacing w:after="0" w:line="240" w:lineRule="auto"/>
        <w:ind w:hanging="426"/>
        <w:rPr>
          <w:rFonts w:ascii="Cambria" w:cs="Times New Roman" w:hAnsi="Cambria"/>
          <w:sz w:val="20"/>
          <w:szCs w:val="20"/>
          <w:lang w:val="hu-HU"/>
        </w:rPr>
      </w:pPr>
      <w:r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  <w:t xml:space="preserve">5. </w:t>
      </w:r>
      <w:r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821"/>
        <w:gridCol w:w="5618"/>
      </w:tblGrid>
      <w:tr>
        <w:trPr>
          <w:trHeight w:val="284"/>
        </w:trPr>
        <w:tc>
          <w:tcPr>
            <w:cnfStyle w:val="101000000000"/>
            <w:tcW w:w="4821" w:type="dxa"/>
            <w:vAlign w:val="center"/>
          </w:tcPr>
          <w:p w14:paraId="00000050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5.1.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cnfStyle w:val="100100000000"/>
            <w:tcW w:w="5618" w:type="dxa"/>
            <w:vAlign w:val="center"/>
          </w:tcPr>
          <w:p w14:paraId="00000051">
            <w:pPr>
              <w:bidi w:val="off"/>
              <w:spacing w:after="0" w:line="240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</w:p>
        </w:tc>
      </w:tr>
      <w:tr>
        <w:trPr>
          <w:trHeight w:val="284"/>
        </w:trPr>
        <w:tc>
          <w:tcPr>
            <w:cnfStyle w:val="011000000000"/>
            <w:tcW w:w="4821" w:type="dxa"/>
            <w:vAlign w:val="center"/>
          </w:tcPr>
          <w:p w14:paraId="00000052">
            <w:pPr>
              <w:spacing w:after="0" w:line="240" w:lineRule="auto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 xml:space="preserve">5.2. </w:t>
            </w:r>
            <w:r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cnfStyle w:val="010100000000"/>
            <w:tcW w:w="5618" w:type="dxa"/>
            <w:vAlign w:val="center"/>
          </w:tcPr>
          <w:p w14:paraId="00000053">
            <w:pPr>
              <w:bidi w:val="off"/>
              <w:spacing w:after="0" w:line="24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rtl w:val="off"/>
                <w:lang w:val="hu-HU"/>
              </w:rPr>
              <w:t>Próbaterem</w:t>
            </w:r>
          </w:p>
          <w:p w14:paraId="00000054">
            <w:pPr>
              <w:bidi w:val="off"/>
              <w:spacing w:after="0" w:line="24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rtl w:val="off"/>
                <w:lang w:val="hu-HU"/>
              </w:rPr>
              <w:t>Hozzáférés vetítőhöz, fény-  hangrendszerhez</w:t>
            </w:r>
          </w:p>
          <w:p w14:paraId="00000055">
            <w:pPr>
              <w:bidi w:val="off"/>
              <w:spacing w:after="0" w:line="240"/>
              <w:rPr>
                <w:rFonts w:ascii="Cambria" w:cs="Times New Roman" w:eastAsia="Times New Roman" w:hAnsi="Cambria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  <w:rtl w:val="off"/>
                <w:lang w:val="hu-HU"/>
              </w:rPr>
              <w:t>Laptop</w:t>
            </w:r>
          </w:p>
        </w:tc>
      </w:tr>
    </w:tbl>
    <w:p w14:paraId="00000056">
      <w:pPr>
        <w:spacing w:after="0" w:line="240" w:lineRule="auto"/>
        <w:ind w:hanging="426"/>
        <w:rPr>
          <w:rFonts w:ascii="Cambria" w:cs="Times New Roman" w:eastAsia="Times New Roman" w:hAnsi="Cambria"/>
          <w:b/>
          <w:sz w:val="20"/>
          <w:szCs w:val="20"/>
          <w:lang w:val="hu-HU" w:eastAsia="zh-CN"/>
        </w:rPr>
      </w:pPr>
    </w:p>
    <w:p w14:paraId="00000057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58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59">
      <w:pPr>
        <w:spacing w:after="0" w:line="240" w:lineRule="auto"/>
        <w:ind w:hanging="425"/>
        <w:rPr>
          <w:rFonts w:ascii="Cambria" w:cs="Times New Roman" w:hAnsi="Cambria"/>
          <w:b/>
          <w:sz w:val="20"/>
          <w:szCs w:val="20"/>
          <w:lang w:val="hu-HU"/>
        </w:rPr>
      </w:pPr>
    </w:p>
    <w:p w14:paraId="0000005A">
      <w:pPr>
        <w:spacing w:after="0" w:line="240" w:lineRule="auto"/>
        <w:ind w:hanging="425"/>
        <w:rPr>
          <w:rFonts w:ascii="Cambria" w:cs="Times New Roman" w:hAnsi="Cambria"/>
          <w:b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6. </w:t>
      </w:r>
      <w:r>
        <w:rPr>
          <w:rFonts w:ascii="Cambria" w:cs="Times New Roman" w:hAnsi="Cambria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eaaaa" w:themeFill="background2" w:themeFillShade="bf"/>
        <w:tblLayout w:type="fixed"/>
        <w:tblLook w:val="01E0"/>
      </w:tblPr>
      <w:tblGrid>
        <w:gridCol w:w="710"/>
        <w:gridCol w:w="9781"/>
      </w:tblGrid>
      <w:tr>
        <w:trPr>
          <w:cantSplit w:val="on"/>
          <w:trHeight w:val="1460"/>
        </w:trPr>
        <w:tc>
          <w:tcPr>
            <w:cnfStyle w:val="101000000000"/>
            <w:tcW w:w="710" w:type="dxa"/>
            <w:shd w:val="clear" w:color="auto" w:fill="auto"/>
            <w:textDirection w:val="btLr"/>
            <w:vAlign w:val="center"/>
          </w:tcPr>
          <w:p w14:paraId="0000005B">
            <w:pPr>
              <w:spacing w:after="0" w:line="240" w:lineRule="auto"/>
              <w:ind w:left="113" w:right="113"/>
              <w:jc w:val="center"/>
              <w:rPr>
                <w:rFonts w:ascii="Cambria" w:cs="Times New Roman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cnfStyle w:val="100100000000"/>
            <w:tcW w:w="9781" w:type="dxa"/>
            <w:shd w:val="clear" w:color="auto" w:fill="auto"/>
            <w:vAlign w:val="center"/>
          </w:tcPr>
          <w:p w14:paraId="0000005C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ismeri a közös munka és a színházi alkotófolyamat alapelveit. </w:t>
            </w:r>
          </w:p>
          <w:p w14:paraId="0000005D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megérti a figyelem, a színpadi jelenlét és a partnerekkel való kapcsolat jelentőségét a színházi gyakorlatok során. </w:t>
            </w:r>
          </w:p>
          <w:p w14:paraId="0000005E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bevezető ismereteket szerez az improvizációról, a bizalomépítő gyakorlatokról, a testtudatosságról és a csoportdinamikáról. </w:t>
            </w:r>
          </w:p>
          <w:p w14:paraId="0000005F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megérti azokat a fizikai és pszichés folyamatokat, amelyeken a színész a színpadi munka során keresztülmegy, valamint felismeri a folyamatos fejlesztést igénylő területeket. </w:t>
            </w:r>
          </w:p>
          <w:p w14:paraId="00000060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</w:tr>
      <w:tr>
        <w:trPr>
          <w:cantSplit w:val="on"/>
          <w:trHeight w:val="1398"/>
        </w:trPr>
        <w:tc>
          <w:tcPr>
            <w:cnfStyle w:val="001000100000"/>
            <w:tcW w:w="710" w:type="dxa"/>
            <w:shd w:val="clear" w:color="auto" w:fill="auto"/>
            <w:textDirection w:val="btLr"/>
            <w:vAlign w:val="center"/>
          </w:tcPr>
          <w:p w14:paraId="00000061">
            <w:pPr>
              <w:spacing w:after="0" w:line="240" w:lineRule="auto"/>
              <w:ind w:left="113" w:right="113"/>
              <w:jc w:val="center"/>
              <w:rPr>
                <w:rFonts w:ascii="Cambria" w:cs="Times New Roman" w:hAnsi="Cambria"/>
                <w:b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cnfStyle w:val="000100100000"/>
            <w:tcW w:w="9781" w:type="dxa"/>
            <w:shd w:val="clear" w:color="auto" w:fill="auto"/>
            <w:vAlign w:val="center"/>
          </w:tcPr>
          <w:p w14:paraId="00000062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képes aktívan részt venni csoportos gyakorlatokban és közös alkotófolyamatokban. </w:t>
            </w:r>
          </w:p>
          <w:p w14:paraId="00000063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fejleszti figyelmét, koncentrációját és a partnerekre adott reakciókészségét a színpadi gyakorlatok során. </w:t>
            </w:r>
          </w:p>
          <w:p w14:paraId="00000064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képes az improvizáció és a testi kifejezés eszközeit különböző színházi helyzetekben alkalmazni. </w:t>
            </w:r>
          </w:p>
          <w:p w14:paraId="00000065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fejleszti együttműködési, kommunikációs és alkalmazkodási készségét a csapatmunka során. </w:t>
            </w:r>
          </w:p>
          <w:p w14:paraId="00000066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jc w:val="left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képes saját munkafolyamatáról és a gyakorlatok során szerzett tapasztalatairól szóban reflektálni. </w:t>
            </w:r>
          </w:p>
        </w:tc>
      </w:tr>
      <w:tr>
        <w:trPr>
          <w:cantSplit w:val="on"/>
          <w:trHeight w:val="1699"/>
        </w:trPr>
        <w:tc>
          <w:tcPr>
            <w:cnfStyle w:val="011000000000"/>
            <w:tcW w:w="710" w:type="dxa"/>
            <w:shd w:val="clear" w:color="auto" w:fill="auto"/>
            <w:textDirection w:val="btLr"/>
            <w:vAlign w:val="center"/>
          </w:tcPr>
          <w:p w14:paraId="00000067">
            <w:pPr>
              <w:spacing w:after="0" w:line="240" w:lineRule="auto"/>
              <w:jc w:val="center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cnfStyle w:val="010100000000"/>
            <w:tcW w:w="9781" w:type="dxa"/>
            <w:shd w:val="clear" w:color="auto" w:fill="auto"/>
            <w:vAlign w:val="center"/>
          </w:tcPr>
          <w:p w14:paraId="00000068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felelősségteljesen és aktívan vesz részt a közös munkában és a gyakorlati feladatokban. </w:t>
            </w:r>
          </w:p>
          <w:p w14:paraId="00000069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nyitottságot és tiszteletet tanúsít társai iránt a bizalomra és együttműködésre épülő gyakorlatok során. </w:t>
            </w:r>
          </w:p>
          <w:p w14:paraId="0000006A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hallgató felelősséget vállal saját fejlődési folyamatáért, és tudatosan vesz részt az önismereti és művészi képzési tevékenységekben. </w:t>
            </w:r>
          </w:p>
          <w:p w14:paraId="0000006B">
            <w:pPr>
              <w:framePr w:w="0" w:h="0" w:vAnchor="margin" w:hAnchor="text" w:x="0" w:y="0"/>
              <w:numPr>
                <w:ilvl w:val="0"/>
                <w:numId w:val="9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jc w:val="left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A hallgató képes egyénileg és csoportban egyaránt dolgozni, aktívan hozzájárulva a közös alkotófolyamat légköréhez és dinamikájához.</w:t>
            </w:r>
          </w:p>
        </w:tc>
      </w:tr>
    </w:tbl>
    <w:p w14:paraId="0000006C">
      <w:pPr>
        <w:spacing w:after="0" w:line="240" w:lineRule="auto"/>
        <w:rPr>
          <w:rFonts w:ascii="Cambria" w:cs="Times New Roman" w:hAnsi="Cambria"/>
          <w:b/>
          <w:sz w:val="20"/>
          <w:szCs w:val="20"/>
          <w:lang w:val="hu-HU"/>
        </w:rPr>
      </w:pPr>
    </w:p>
    <w:p w14:paraId="0000006D">
      <w:pPr>
        <w:spacing w:after="0" w:line="240" w:lineRule="auto"/>
        <w:ind w:hanging="425"/>
        <w:rPr>
          <w:rFonts w:ascii="Cambria" w:cs="Times New Roman" w:hAnsi="Cambria"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7. </w:t>
      </w:r>
      <w:r>
        <w:rPr>
          <w:rFonts w:ascii="Cambria" w:cs="Times New Roman" w:hAnsi="Cambria"/>
          <w:b/>
          <w:sz w:val="20"/>
          <w:szCs w:val="20"/>
          <w:lang w:val="hu-HU"/>
        </w:rPr>
        <w:t xml:space="preserve">A tantárgy célkitűzései </w:t>
      </w:r>
      <w:r>
        <w:rPr>
          <w:rFonts w:ascii="Cambria" w:cs="Times New Roman" w:hAnsi="Cambria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eaaaa" w:themeFill="background2" w:themeFillShade="bf"/>
        <w:tblLayout w:type="fixed"/>
        <w:tblLook w:val="01E0"/>
      </w:tblPr>
      <w:tblGrid>
        <w:gridCol w:w="3545"/>
        <w:gridCol w:w="6946"/>
      </w:tblGrid>
      <w:tr>
        <w:trPr>
          <w:cantSplit w:val="on"/>
          <w:trHeight w:val="1003"/>
        </w:trPr>
        <w:tc>
          <w:tcPr>
            <w:cnfStyle w:val="101000000000"/>
            <w:tcW w:w="3545" w:type="dxa"/>
            <w:shd w:val="clear" w:color="auto" w:fill="auto"/>
            <w:vAlign w:val="center"/>
          </w:tcPr>
          <w:p w14:paraId="0000006E">
            <w:pPr>
              <w:spacing w:after="0" w:line="240" w:lineRule="auto"/>
              <w:rPr>
                <w:rFonts w:ascii="Cambria" w:cs="Times New Roman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bCs/>
                <w:sz w:val="20"/>
                <w:szCs w:val="20"/>
                <w:lang w:val="hu-HU"/>
              </w:rPr>
              <w:t xml:space="preserve">7.1 </w:t>
            </w:r>
            <w:r>
              <w:rPr>
                <w:rFonts w:ascii="Cambria" w:cs="Times New Roman" w:hAnsi="Cambria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cnfStyle w:val="100100000000"/>
            <w:tcW w:w="6946" w:type="dxa"/>
            <w:shd w:val="clear" w:color="auto" w:fill="auto"/>
            <w:vAlign w:val="center"/>
          </w:tcPr>
          <w:p w14:paraId="0000006F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tantárgy célja, hogy a hallgatókat a gyakorlati színházi munka alapjaival ismertesse meg figyelemfejlesztő, együttműködési, improvizációs és testtudatosságot fejlesztő gyakorlatokon keresztül. A kurzus hozzájárul a színpadi jelenlét, a csoportérzékenység, valamint a színészi alkotófolyamatra való reflektív gondolkodás fejlesztéséhez. </w:t>
            </w:r>
          </w:p>
          <w:p w14:paraId="00000070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>
        <w:trPr>
          <w:cantSplit w:val="on"/>
          <w:trHeight w:val="832"/>
        </w:trPr>
        <w:tc>
          <w:tcPr>
            <w:cnfStyle w:val="011000000000"/>
            <w:tcW w:w="3545" w:type="dxa"/>
            <w:shd w:val="clear" w:color="auto" w:fill="auto"/>
            <w:vAlign w:val="center"/>
          </w:tcPr>
          <w:p w14:paraId="00000071">
            <w:pPr>
              <w:spacing w:after="0" w:line="240" w:lineRule="auto"/>
              <w:rPr>
                <w:rFonts w:ascii="Cambria" w:cs="Times New Roman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bCs/>
                <w:sz w:val="20"/>
                <w:szCs w:val="20"/>
                <w:lang w:val="hu-HU"/>
              </w:rPr>
              <w:t xml:space="preserve">7.2 </w:t>
            </w:r>
            <w:r>
              <w:rPr>
                <w:rFonts w:ascii="Cambria" w:cs="Times New Roman" w:hAnsi="Cambria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cnfStyle w:val="010100000000"/>
            <w:tcW w:w="6946" w:type="dxa"/>
            <w:shd w:val="clear" w:color="auto" w:fill="auto"/>
            <w:vAlign w:val="center"/>
          </w:tcPr>
          <w:p w14:paraId="00000072">
            <w:pPr>
              <w:framePr w:w="0" w:h="0" w:vAnchor="margin" w:hAnchor="text" w:x="0" w:y="0"/>
              <w:numPr>
                <w:ilvl w:val="0"/>
                <w:numId w:val="5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ind w:left="720" w:right="0" w:hanging="36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figyelem, a koncentráció és a színpadi reakciókészség fejlesztése; </w:t>
            </w:r>
          </w:p>
          <w:p w14:paraId="00000073">
            <w:pPr>
              <w:framePr w:w="0" w:h="0" w:vAnchor="margin" w:hAnchor="text" w:x="0" w:y="0"/>
              <w:numPr>
                <w:ilvl w:val="0"/>
                <w:numId w:val="5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ind w:left="720" w:right="0" w:hanging="36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az együttműködési és kommunikációs készségek fejlesztése csoportos munkában; </w:t>
            </w:r>
          </w:p>
          <w:p w14:paraId="00000074">
            <w:pPr>
              <w:framePr w:w="0" w:h="0" w:vAnchor="margin" w:hAnchor="text" w:x="0" w:y="0"/>
              <w:numPr>
                <w:ilvl w:val="0"/>
                <w:numId w:val="5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ind w:left="720" w:right="0" w:hanging="36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az improvizációs, bizalomépítő és testi kifejezést fejlesztő gyakorlatok megismertetése; </w:t>
            </w:r>
          </w:p>
          <w:p w14:paraId="00000075">
            <w:pPr>
              <w:framePr w:w="0" w:h="0" w:vAnchor="margin" w:hAnchor="text" w:x="0" w:y="0"/>
              <w:numPr>
                <w:ilvl w:val="0"/>
                <w:numId w:val="5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ind w:left="720" w:right="0" w:hanging="36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 testtudatosság és a színpadi jelenlét fejlesztése; </w:t>
            </w:r>
          </w:p>
          <w:p w14:paraId="00000076">
            <w:pPr>
              <w:framePr w:w="0" w:h="0" w:vAnchor="margin" w:hAnchor="text" w:x="0" w:y="0"/>
              <w:numPr>
                <w:ilvl w:val="0"/>
                <w:numId w:val="5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ind w:left="720" w:right="0" w:hanging="360"/>
              <w:jc w:val="left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a színészi munkafolyamatra és a személyes fejlődésre irányuló reflexió ösztönzése.</w:t>
            </w:r>
          </w:p>
        </w:tc>
      </w:tr>
    </w:tbl>
    <w:p w14:paraId="00000077">
      <w:pPr>
        <w:spacing w:after="0" w:line="240" w:lineRule="auto"/>
        <w:ind w:hanging="426"/>
        <w:rPr>
          <w:rFonts w:ascii="Cambria" w:cs="Times New Roman" w:hAnsi="Cambria"/>
          <w:sz w:val="20"/>
          <w:szCs w:val="20"/>
          <w:lang w:val="hu-HU"/>
        </w:rPr>
      </w:pPr>
    </w:p>
    <w:p w14:paraId="00000078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79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7A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7B">
      <w:pPr>
        <w:spacing w:after="0" w:line="240" w:lineRule="auto"/>
        <w:ind w:hanging="425"/>
        <w:rPr>
          <w:rFonts w:ascii="Cambria" w:cs="Times New Roman" w:hAnsi="Cambria"/>
          <w:b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>8</w:t>
      </w:r>
      <w:r>
        <w:rPr>
          <w:rFonts w:ascii="Cambria" w:cs="Times New Roman" w:hAnsi="Cambria"/>
          <w:b/>
          <w:sz w:val="20"/>
          <w:szCs w:val="20"/>
          <w:lang w:val="hu-HU"/>
        </w:rPr>
        <w:t xml:space="preserve">. </w:t>
      </w:r>
      <w:r>
        <w:rPr>
          <w:rFonts w:ascii="Cambria" w:cs="Times New Roman" w:hAnsi="Cambria"/>
          <w:b/>
          <w:sz w:val="20"/>
          <w:szCs w:val="20"/>
          <w:lang w:val="hu-HU"/>
        </w:rPr>
        <w:t>A tantárgy tartalma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3687"/>
        <w:gridCol w:w="3543"/>
        <w:gridCol w:w="3261"/>
      </w:tblGrid>
      <w:tr>
        <w:trPr>
          <w:cnfStyle w:val="100000000000"/>
          <w:trHeight w:val="284"/>
          <w:jc w:val="center"/>
        </w:trPr>
        <w:tc>
          <w:tcPr>
            <w:cnfStyle w:val="101000000000"/>
            <w:tcW w:w="3687" w:type="dxa"/>
            <w:shd w:val="clear" w:color="auto" w:fill="auto"/>
            <w:vAlign w:val="center"/>
          </w:tcPr>
          <w:p w14:paraId="0000007C">
            <w:pPr>
              <w:spacing w:after="0" w:line="240" w:lineRule="auto"/>
              <w:rPr>
                <w:rFonts w:ascii="Cambria" w:cs="Times New Roman" w:eastAsia="Calibri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eastAsia="Calibri" w:hAnsi="Cambria"/>
                <w:sz w:val="20"/>
                <w:szCs w:val="20"/>
                <w:lang w:val="hu-HU"/>
              </w:rPr>
              <w:t xml:space="preserve">8.1 </w:t>
            </w:r>
            <w:r>
              <w:rPr>
                <w:rFonts w:ascii="Cambria" w:cs="Times New Roman" w:eastAsia="Calibri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cnfStyle w:val="100010000000"/>
            <w:tcW w:w="3543" w:type="dxa"/>
            <w:shd w:val="clear" w:color="auto" w:fill="auto"/>
            <w:vAlign w:val="center"/>
          </w:tcPr>
          <w:p w14:paraId="0000007D">
            <w:pPr>
              <w:spacing w:after="0" w:line="240" w:lineRule="auto"/>
              <w:rPr>
                <w:rFonts w:ascii="Cambria" w:cs="Times New Roman" w:eastAsia="Calibri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eastAsia="Calibri" w:hAnsi="Cambria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cnfStyle w:val="100100000000"/>
            <w:tcW w:w="3261" w:type="dxa"/>
            <w:shd w:val="clear" w:color="auto" w:fill="auto"/>
            <w:vAlign w:val="center"/>
          </w:tcPr>
          <w:p w14:paraId="0000007E">
            <w:pPr>
              <w:spacing w:after="0" w:line="240" w:lineRule="auto"/>
              <w:rPr>
                <w:rFonts w:ascii="Cambria" w:cs="Times New Roman" w:eastAsia="Calibri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eastAsia="Calibri" w:hAnsi="Cambria"/>
                <w:sz w:val="20"/>
                <w:szCs w:val="20"/>
                <w:lang w:val="hu-HU"/>
              </w:rPr>
              <w:t>Megjegyzések</w:t>
            </w:r>
          </w:p>
        </w:tc>
      </w:tr>
      <w:tr>
        <w:trPr>
          <w:cnfStyle w:val="000000100000"/>
          <w:trHeight w:val="284"/>
          <w:jc w:val="center"/>
        </w:trPr>
        <w:tc>
          <w:tcPr>
            <w:cnfStyle w:val="001000100000"/>
            <w:tcW w:w="3687" w:type="dxa"/>
            <w:shd w:val="clear" w:color="auto" w:fill="auto"/>
            <w:vAlign w:val="center"/>
          </w:tcPr>
          <w:p w14:paraId="0000007F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10100000"/>
            <w:tcW w:w="3543" w:type="dxa"/>
            <w:shd w:val="clear" w:color="auto" w:fill="auto"/>
            <w:vAlign w:val="center"/>
          </w:tcPr>
          <w:p w14:paraId="00000080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100100000"/>
            <w:tcW w:w="3261" w:type="dxa"/>
            <w:shd w:val="clear" w:color="auto" w:fill="auto"/>
            <w:vAlign w:val="center"/>
          </w:tcPr>
          <w:p w14:paraId="00000081">
            <w:pPr>
              <w:spacing w:after="0" w:line="240" w:lineRule="auto"/>
              <w:rPr>
                <w:rFonts w:ascii="Cambria" w:cs="Times New Roman" w:eastAsia="Calibri" w:hAnsi="Cambria"/>
                <w:sz w:val="20"/>
                <w:szCs w:val="20"/>
                <w:lang w:val="hu-HU"/>
              </w:rPr>
            </w:pPr>
          </w:p>
        </w:tc>
      </w:tr>
      <w:tr>
        <w:trPr>
          <w:cnfStyle w:val="000000010000"/>
          <w:trHeight w:val="284"/>
          <w:jc w:val="center"/>
        </w:trPr>
        <w:tc>
          <w:tcPr>
            <w:cnfStyle w:val="001000010000"/>
            <w:tcW w:w="3687" w:type="dxa"/>
            <w:shd w:val="clear" w:color="auto" w:fill="auto"/>
            <w:vAlign w:val="center"/>
          </w:tcPr>
          <w:p w14:paraId="00000082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10010000"/>
            <w:tcW w:w="3543" w:type="dxa"/>
            <w:shd w:val="clear" w:color="auto" w:fill="auto"/>
            <w:vAlign w:val="center"/>
          </w:tcPr>
          <w:p w14:paraId="00000083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100010000"/>
            <w:tcW w:w="3261" w:type="dxa"/>
            <w:shd w:val="clear" w:color="auto" w:fill="auto"/>
            <w:vAlign w:val="center"/>
          </w:tcPr>
          <w:p w14:paraId="00000084">
            <w:pPr>
              <w:spacing w:after="0" w:line="240" w:lineRule="auto"/>
              <w:rPr>
                <w:rFonts w:ascii="Cambria" w:cs="Times New Roman" w:eastAsia="Calibri" w:hAnsi="Cambria"/>
                <w:sz w:val="20"/>
                <w:szCs w:val="20"/>
                <w:lang w:val="hu-HU"/>
              </w:rPr>
            </w:pPr>
          </w:p>
        </w:tc>
      </w:tr>
      <w:tr>
        <w:trPr>
          <w:cnfStyle w:val="000000100000"/>
          <w:trHeight w:val="284"/>
          <w:jc w:val="center"/>
        </w:trPr>
        <w:tc>
          <w:tcPr>
            <w:cnfStyle w:val="001000100000"/>
            <w:tcW w:w="10491" w:type="dxa"/>
            <w:gridSpan w:val="3"/>
            <w:shd w:val="clear" w:color="auto" w:fill="auto"/>
            <w:vAlign w:val="center"/>
          </w:tcPr>
          <w:p w14:paraId="00000085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Könyvészet</w:t>
            </w:r>
          </w:p>
          <w:p w14:paraId="00000086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</w:tr>
      <w:tr>
        <w:trPr>
          <w:cnfStyle w:val="000000010000"/>
          <w:trHeight w:val="284"/>
          <w:jc w:val="center"/>
        </w:trPr>
        <w:tc>
          <w:tcPr>
            <w:cnfStyle w:val="001000010000"/>
            <w:tcW w:w="3687" w:type="dxa"/>
            <w:shd w:val="clear" w:color="auto" w:fill="auto"/>
            <w:vAlign w:val="center"/>
          </w:tcPr>
          <w:p w14:paraId="00000087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8.2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cnfStyle w:val="000010010000"/>
            <w:tcW w:w="3543" w:type="dxa"/>
            <w:shd w:val="clear" w:color="auto" w:fill="auto"/>
            <w:vAlign w:val="center"/>
          </w:tcPr>
          <w:p w14:paraId="00000088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eastAsia="Calibri" w:hAnsi="Cambria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cnfStyle w:val="000100010000"/>
            <w:tcW w:w="3261" w:type="dxa"/>
            <w:shd w:val="clear" w:color="auto" w:fill="auto"/>
            <w:vAlign w:val="center"/>
          </w:tcPr>
          <w:p w14:paraId="00000089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eastAsia="Calibri" w:hAnsi="Cambria"/>
                <w:sz w:val="20"/>
                <w:szCs w:val="20"/>
                <w:lang w:val="hu-HU"/>
              </w:rPr>
              <w:t>Megjegyzések</w:t>
            </w:r>
          </w:p>
        </w:tc>
      </w:tr>
      <w:tr>
        <w:trPr>
          <w:cnfStyle w:val="000000100000"/>
          <w:trHeight w:val="284"/>
          <w:jc w:val="center"/>
        </w:trPr>
        <w:tc>
          <w:tcPr>
            <w:cnfStyle w:val="001000100000"/>
            <w:tcW w:w="3687" w:type="dxa"/>
            <w:shd w:val="clear" w:color="auto" w:fill="auto"/>
            <w:vAlign w:val="center"/>
          </w:tcPr>
          <w:p w14:paraId="0000008A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b w:val="off"/>
                <w:bCs w:val="off"/>
                <w:sz w:val="20"/>
                <w:szCs w:val="20"/>
                <w:lang w:val="hu-HU"/>
              </w:rPr>
            </w:pPr>
          </w:p>
          <w:p w14:paraId="0000008B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rtl w:val="off"/>
                <w:lang w:val="en-US"/>
              </w:rPr>
              <w:t>1–3. hét – Bizalomépítő gyakorlatok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Bevezető gyakorlatok, a bizalom és a csoportérzékenység fejlesztése, jelenlét- és együttműködési gyakorlatok.</w:t>
            </w:r>
          </w:p>
          <w:p w14:paraId="0000008C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rtl w:val="off"/>
                <w:lang w:val="en-US"/>
              </w:rPr>
              <w:t>4–6. hét – Csapatépítő gyakorlatok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Együttműködési, reakció- és kommunikációs gyakorlatok, a közösségi dinamika fejlesztése.</w:t>
            </w:r>
          </w:p>
          <w:p w14:paraId="0000008D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rtl w:val="off"/>
                <w:lang w:val="en-US"/>
              </w:rPr>
              <w:t>7–9. hét – Figyelemfejlesztő gyakorlatok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Koncentráció, színpadi figyelem, a partnerre való reagálás és a színpadi tér tudatosítása.</w:t>
            </w:r>
          </w:p>
          <w:p w14:paraId="0000008E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rtl w:val="off"/>
                <w:lang w:val="en-US"/>
              </w:rPr>
              <w:t>10–12. hét – Testtudatosság fejlesztése és nonverbális improvizáció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Testi kifejezést, ritmust, mozgást és nonverbális improvizációt fejlesztő gyakorlatok.</w:t>
            </w:r>
          </w:p>
          <w:p w14:paraId="0000008F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  <w:rtl w:val="off"/>
                <w:lang w:val="en-US"/>
              </w:rPr>
              <w:t>13–14. hét – Szöveges improvizáció</w:t>
            </w:r>
            <w:r>
              <w:rPr>
                <w:rFonts w:ascii="Cambria" w:hAnsi="Cambria"/>
                <w:color w:val="000000"/>
                <w:sz w:val="20"/>
                <w:szCs w:val="20"/>
                <w:lang w:val="en-US"/>
              </w:rPr>
              <w:br w:type="textWrapping"/>
            </w: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Szövegalapú improvizációs gyakorlatok, verbális reagálás és színpadi kapcsolatok építése.</w:t>
            </w:r>
          </w:p>
          <w:p w14:paraId="00000090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10100000"/>
            <w:tcW w:w="3543" w:type="dxa"/>
            <w:shd w:val="clear" w:color="auto" w:fill="auto"/>
            <w:vAlign w:val="center"/>
          </w:tcPr>
          <w:p w14:paraId="00000091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</w:pPr>
          </w:p>
          <w:p w14:paraId="00000092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</w:pPr>
          </w:p>
          <w:p w14:paraId="00000093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</w:pPr>
          </w:p>
          <w:p w14:paraId="00000094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Gyakorlatok, egyéni és csoportos munka, reflektív beszélgetések, folyamatos visszajelzés, csoportos elemzés. </w:t>
            </w:r>
          </w:p>
          <w:p w14:paraId="00000095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100100000"/>
            <w:tcW w:w="3261" w:type="dxa"/>
            <w:shd w:val="clear" w:color="auto" w:fill="auto"/>
            <w:vAlign w:val="center"/>
          </w:tcPr>
          <w:p w14:paraId="00000096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</w:tr>
      <w:tr>
        <w:trPr>
          <w:cnfStyle w:val="000000010000"/>
          <w:trHeight w:val="284"/>
          <w:jc w:val="center"/>
        </w:trPr>
        <w:tc>
          <w:tcPr>
            <w:cnfStyle w:val="001000010000"/>
            <w:tcW w:w="3687" w:type="dxa"/>
            <w:shd w:val="clear" w:color="auto" w:fill="auto"/>
            <w:vAlign w:val="center"/>
          </w:tcPr>
          <w:p w14:paraId="00000097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10010000"/>
            <w:tcW w:w="3543" w:type="dxa"/>
            <w:shd w:val="clear" w:color="auto" w:fill="auto"/>
            <w:vAlign w:val="center"/>
          </w:tcPr>
          <w:p w14:paraId="00000098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100010000"/>
            <w:tcW w:w="3261" w:type="dxa"/>
            <w:shd w:val="clear" w:color="auto" w:fill="auto"/>
            <w:vAlign w:val="center"/>
          </w:tcPr>
          <w:p w14:paraId="00000099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</w:tr>
      <w:tr>
        <w:trPr>
          <w:cnfStyle w:val="010000000000"/>
          <w:trHeight w:val="284"/>
          <w:jc w:val="center"/>
        </w:trPr>
        <w:tc>
          <w:tcPr>
            <w:cnfStyle w:val="011000000000"/>
            <w:tcW w:w="10491" w:type="dxa"/>
            <w:gridSpan w:val="3"/>
            <w:shd w:val="clear" w:color="auto" w:fill="auto"/>
            <w:vAlign w:val="center"/>
          </w:tcPr>
          <w:p w14:paraId="0000009A">
            <w:pPr>
              <w:tabs>
                <w:tab w:val="left" w:pos="2715"/>
              </w:tabs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Könyvészet</w:t>
            </w:r>
          </w:p>
          <w:p w14:paraId="0000009B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Bíró Yvette: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Egy akt felöltöztetése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; Képzeletgyakorlatok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. Budapest, 1996, Osiris Kiadó.</w:t>
            </w:r>
          </w:p>
          <w:p w14:paraId="0000009C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David Zinder: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Test – Hang – Képzelet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.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Kolozsvár, 2009, Koinónia Kiadó.</w:t>
            </w:r>
          </w:p>
          <w:p w14:paraId="0000009D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>Earnshaw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,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Steven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: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The Handbook of Creative Writing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.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Edinburgh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, 2007,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Edinburgh University Press</w:t>
            </w:r>
          </w:p>
          <w:p w14:paraId="0000009E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>Jacques Lecoq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The Moving Body; Teaching Creative Theatre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.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New York, 2020, Bloomsbury Publishing.</w:t>
            </w:r>
          </w:p>
          <w:p w14:paraId="0000009F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i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>Jordaan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,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Phoebe-Marié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Finding Creativity: Integrating d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 xml:space="preserve">rama teaching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techniques in creative writing lessons.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2015, Stellenbosch University</w:t>
            </w:r>
          </w:p>
          <w:p w14:paraId="000000A0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Keith Johnstone: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Improvizáció és a színház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.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Tatabánya, 1993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, kiadja A Közművelődés Háza.</w:t>
            </w:r>
          </w:p>
          <w:p w14:paraId="000000A1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K. Sz. Sztanyiszlavszkij: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A színész munkája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.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Budapest, 1988, Gondolat Kiadó.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</w:p>
          <w:p w14:paraId="000000A2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>Mihail Csehov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: A színészhez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.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Budapest, 1997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, Polgár Kiadó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.</w:t>
            </w:r>
          </w:p>
          <w:p w14:paraId="000000A3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>Murray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,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Simon: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Jacqes Lecoq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, London, 2003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, Routledge.</w:t>
            </w:r>
          </w:p>
          <w:p w14:paraId="000000A4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Popper Péter: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Színes pokol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,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Budapest, 2000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, Saxum Kiadó.</w:t>
            </w:r>
          </w:p>
          <w:p w14:paraId="000000A5">
            <w:pPr>
              <w:tabs>
                <w:tab w:val="left" w:pos="2715"/>
              </w:tabs>
              <w:spacing w:after="0" w:line="360" w:lineRule="auto"/>
              <w:jc w:val="both"/>
              <w:rPr>
                <w:rFonts w:ascii="Cambria" w:cs="Times New Roman" w:eastAsia="Times New Roman" w:hAnsi="Cambria"/>
                <w:sz w:val="20"/>
                <w:szCs w:val="20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Peter Brook: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Változó nézőpont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.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Budapest, 2000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,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Orpheusz Könyvkiadó.</w:t>
            </w:r>
          </w:p>
          <w:p w14:paraId="000000A6">
            <w:pPr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eastAsia="Times New Roman" w:hAnsi="Cambria"/>
                <w:sz w:val="20"/>
                <w:szCs w:val="20"/>
              </w:rPr>
              <w:t>Robert Co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hen: </w:t>
            </w:r>
            <w:r>
              <w:rPr>
                <w:rFonts w:ascii="Cambria" w:cs="Times New Roman" w:eastAsia="Times New Roman" w:hAnsi="Cambria"/>
                <w:i/>
                <w:sz w:val="20"/>
                <w:szCs w:val="20"/>
              </w:rPr>
              <w:t>A színészmesterség alapjai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.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Pécs, 2008, 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Jelenkor Kia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>dó</w:t>
            </w:r>
            <w:r>
              <w:rPr>
                <w:rFonts w:ascii="Cambria" w:cs="Times New Roman" w:eastAsia="Times New Roman" w:hAnsi="Cambria"/>
                <w:sz w:val="20"/>
                <w:szCs w:val="20"/>
              </w:rPr>
              <w:t xml:space="preserve"> </w:t>
            </w:r>
          </w:p>
        </w:tc>
      </w:tr>
    </w:tbl>
    <w:p w14:paraId="000000A7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A8">
      <w:pPr>
        <w:spacing w:after="0" w:line="240" w:lineRule="auto"/>
        <w:ind w:left="-426"/>
        <w:jc w:val="both"/>
        <w:rPr>
          <w:rFonts w:ascii="Cambria" w:cs="Times New Roman" w:hAnsi="Cambria"/>
          <w:b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9. </w:t>
      </w:r>
      <w:r>
        <w:rPr>
          <w:rFonts w:ascii="Cambria" w:cs="Times New Roman" w:hAnsi="Cambria"/>
          <w:b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0491"/>
      </w:tblGrid>
      <w:tr>
        <w:trPr>
          <w:trHeight w:val="4011"/>
        </w:trPr>
        <w:tc>
          <w:tcPr>
            <w:cnfStyle w:val="101000000000"/>
            <w:tcW w:w="10491" w:type="dxa"/>
          </w:tcPr>
          <w:p w14:paraId="000000A9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</w:p>
          <w:p w14:paraId="000000AA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>A tantárgy tartalma összhangban áll a kortárs színházi gyakorlatok és a független művészeti szféra aktuális elvárásaival, ahol az együttműködési készség, a színpadi jelenlét, az improvizációs képesség és a csoportmunkában való hatékony kommunikáció alapvető kompetenciáknak számítanak.</w:t>
            </w:r>
          </w:p>
          <w:p w14:paraId="000000AB">
            <w:pPr>
              <w:bidi w:val="off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rtl w:val="off"/>
                <w:lang w:val="hu-HU"/>
              </w:rPr>
              <w:t xml:space="preserve"> </w:t>
            </w:r>
          </w:p>
        </w:tc>
      </w:tr>
    </w:tbl>
    <w:p w14:paraId="000000AC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AD">
      <w:pPr>
        <w:spacing w:after="0" w:line="240" w:lineRule="auto"/>
        <w:ind w:hanging="425"/>
        <w:rPr>
          <w:rFonts w:ascii="Cambria" w:cs="Times New Roman" w:hAnsi="Cambria"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10. </w:t>
      </w:r>
      <w:r>
        <w:rPr>
          <w:rFonts w:ascii="Cambria" w:cs="Times New Roman" w:hAnsi="Cambria"/>
          <w:b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1985"/>
        <w:gridCol w:w="2837"/>
        <w:gridCol w:w="2692"/>
        <w:gridCol w:w="2978"/>
      </w:tblGrid>
      <w:tr>
        <w:trPr>
          <w:trHeight w:val="284"/>
        </w:trPr>
        <w:tc>
          <w:tcPr>
            <w:cnfStyle w:val="101000000000"/>
            <w:tcW w:w="1985" w:type="dxa"/>
            <w:shd w:val="clear" w:color="auto" w:fill="auto"/>
            <w:vAlign w:val="center"/>
          </w:tcPr>
          <w:p w14:paraId="000000AE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cnfStyle w:val="100010000000"/>
            <w:tcW w:w="2837" w:type="dxa"/>
            <w:shd w:val="clear" w:color="auto" w:fill="auto"/>
            <w:vAlign w:val="center"/>
          </w:tcPr>
          <w:p w14:paraId="000000AF">
            <w:pPr>
              <w:spacing w:after="0" w:line="240" w:lineRule="auto"/>
              <w:ind w:left="46" w:right="-154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10.1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cnfStyle w:val="100001000000"/>
            <w:tcW w:w="2692" w:type="dxa"/>
            <w:shd w:val="clear" w:color="auto" w:fill="auto"/>
            <w:vAlign w:val="center"/>
          </w:tcPr>
          <w:p w14:paraId="000000B0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10.2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cnfStyle w:val="100100000000"/>
            <w:tcW w:w="2978" w:type="dxa"/>
            <w:shd w:val="clear" w:color="auto" w:fill="auto"/>
            <w:vAlign w:val="center"/>
          </w:tcPr>
          <w:p w14:paraId="000000B1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10.3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>
        <w:trPr>
          <w:trHeight w:val="284"/>
        </w:trPr>
        <w:tc>
          <w:tcPr>
            <w:cnfStyle w:val="001000100000"/>
            <w:tcW w:w="1985" w:type="dxa"/>
            <w:vMerge w:val="restart"/>
            <w:shd w:val="clear" w:color="auto" w:fill="auto"/>
            <w:vAlign w:val="center"/>
          </w:tcPr>
          <w:p w14:paraId="000000B2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10.4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cnfStyle w:val="000010100000"/>
            <w:tcW w:w="2837" w:type="dxa"/>
            <w:shd w:val="clear" w:color="auto" w:fill="auto"/>
            <w:vAlign w:val="center"/>
          </w:tcPr>
          <w:p w14:paraId="000000B3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color w:val="000000"/>
                <w:sz w:val="18"/>
                <w:lang w:val="en-US"/>
              </w:rPr>
            </w:pPr>
          </w:p>
          <w:p w14:paraId="000000B4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color w:val="000000"/>
                <w:sz w:val="18"/>
                <w:lang w:val="en-US"/>
              </w:rPr>
            </w:pPr>
          </w:p>
          <w:p w14:paraId="000000B5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01100000"/>
            <w:tcW w:w="2692" w:type="dxa"/>
            <w:shd w:val="clear" w:color="auto" w:fill="auto"/>
            <w:vAlign w:val="center"/>
          </w:tcPr>
          <w:p w14:paraId="000000B6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100100000"/>
            <w:tcW w:w="2978" w:type="dxa"/>
            <w:shd w:val="clear" w:color="auto" w:fill="auto"/>
            <w:vAlign w:val="center"/>
          </w:tcPr>
          <w:p w14:paraId="000000B7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</w:tr>
      <w:tr>
        <w:trPr>
          <w:trHeight w:val="284"/>
        </w:trPr>
        <w:tc>
          <w:tcPr>
            <w:cnfStyle w:val="001000010000"/>
            <w:tcW w:w="1985" w:type="dxa"/>
            <w:vMerge w:val="continue"/>
            <w:shd w:val="clear" w:color="auto" w:fill="auto"/>
            <w:vAlign w:val="center"/>
          </w:tcPr>
          <w:p w14:paraId="000000B8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10010000"/>
            <w:tcW w:w="2837" w:type="dxa"/>
            <w:shd w:val="clear" w:color="auto" w:fill="auto"/>
            <w:vAlign w:val="center"/>
          </w:tcPr>
          <w:p w14:paraId="000000B9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01010000"/>
            <w:tcW w:w="2692" w:type="dxa"/>
            <w:shd w:val="clear" w:color="auto" w:fill="auto"/>
            <w:vAlign w:val="center"/>
          </w:tcPr>
          <w:p w14:paraId="000000BA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100010000"/>
            <w:tcW w:w="2978" w:type="dxa"/>
            <w:shd w:val="clear" w:color="auto" w:fill="auto"/>
            <w:vAlign w:val="center"/>
          </w:tcPr>
          <w:p w14:paraId="000000BB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</w:tr>
      <w:tr>
        <w:trPr>
          <w:trHeight w:val="284"/>
        </w:trPr>
        <w:tc>
          <w:tcPr>
            <w:cnfStyle w:val="001000100000"/>
            <w:tcW w:w="1985" w:type="dxa"/>
            <w:vMerge w:val="restart"/>
            <w:shd w:val="clear" w:color="auto" w:fill="auto"/>
            <w:vAlign w:val="center"/>
          </w:tcPr>
          <w:p w14:paraId="000000BC">
            <w:pPr>
              <w:spacing w:after="0" w:line="240" w:lineRule="auto"/>
              <w:ind w:right="-150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10.5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Szeminárium / </w:t>
            </w:r>
          </w:p>
          <w:p w14:paraId="000000BD">
            <w:pPr>
              <w:spacing w:after="0" w:line="240" w:lineRule="auto"/>
              <w:ind w:right="-150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cnfStyle w:val="000010100000"/>
            <w:tcW w:w="2837" w:type="dxa"/>
            <w:shd w:val="clear" w:color="auto" w:fill="auto"/>
            <w:vAlign w:val="center"/>
          </w:tcPr>
          <w:p w14:paraId="000000BE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b w:val="off"/>
                <w:bCs w:val="off"/>
                <w:color w:val="000000"/>
                <w:sz w:val="18"/>
                <w:lang w:val="en-US"/>
              </w:rPr>
            </w:pPr>
            <w:r>
              <w:rPr>
                <w:rFonts w:ascii="Segoe UI"/>
                <w:b w:val="off"/>
                <w:bCs w:val="off"/>
                <w:color w:val="000000"/>
                <w:sz w:val="18"/>
                <w:rtl w:val="off"/>
                <w:lang w:val="en-US"/>
              </w:rPr>
              <w:t>Részvétel és aktivitás az órákon</w:t>
            </w:r>
          </w:p>
          <w:p w14:paraId="000000BF">
            <w:pPr>
              <w:framePr w:w="0" w:h="0" w:vAnchor="margin" w:hAnchor="text" w:x="0" w:y="0"/>
              <w:numPr>
                <w:ilvl w:val="0"/>
                <w:numId w:val="10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Segoe UI"/>
                <w:b w:val="off"/>
                <w:bCs w:val="off"/>
                <w:color w:val="000000"/>
                <w:sz w:val="18"/>
                <w:lang w:val="en-US"/>
              </w:rPr>
            </w:pPr>
            <w:r>
              <w:rPr>
                <w:rFonts w:ascii="Segoe UI"/>
                <w:b w:val="off"/>
                <w:bCs w:val="off"/>
                <w:color w:val="000000"/>
                <w:sz w:val="18"/>
                <w:rtl w:val="off"/>
                <w:lang w:val="en-US"/>
              </w:rPr>
              <w:t xml:space="preserve">rendszeres jelenlét és aktív részvétel az órákon; </w:t>
            </w:r>
          </w:p>
          <w:p w14:paraId="000000C0">
            <w:pPr>
              <w:framePr w:w="0" w:h="0" w:vAnchor="margin" w:hAnchor="text" w:x="0" w:y="0"/>
              <w:numPr>
                <w:ilvl w:val="0"/>
                <w:numId w:val="11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tabs>
                <w:tab w:val="left" w:pos="720"/>
              </w:tabs>
              <w:bidi w:val="off"/>
              <w:spacing w:before="0" w:after="0" w:line="240" w:lineRule="auto"/>
              <w:jc w:val="left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Segoe UI"/>
                <w:b w:val="off"/>
                <w:bCs w:val="off"/>
                <w:color w:val="000000"/>
                <w:sz w:val="18"/>
                <w:rtl w:val="off"/>
                <w:lang w:val="en-US"/>
              </w:rPr>
              <w:t xml:space="preserve">együttműködési készség a csoportos munkában. </w:t>
            </w:r>
          </w:p>
          <w:p w14:paraId="000000C1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01100000"/>
            <w:tcW w:w="2692" w:type="dxa"/>
            <w:shd w:val="clear" w:color="auto" w:fill="auto"/>
            <w:vAlign w:val="center"/>
          </w:tcPr>
          <w:p w14:paraId="000000C2">
            <w:pPr>
              <w:bidi w:val="off"/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Segoe UI"/>
                <w:color w:val="000000"/>
                <w:sz w:val="18"/>
                <w:rtl w:val="off"/>
                <w:lang w:val="en-US"/>
              </w:rPr>
              <w:t>kvalitatív értékelés az oktató megfigyelései és pedagógiai naplója alapján.</w:t>
            </w:r>
            <w:r>
              <w:rPr>
                <w:rFonts w:ascii="Segoe UI"/>
                <w:color w:val="000000"/>
                <w:sz w:val="18"/>
                <w:lang w:val="en-US"/>
              </w:rPr>
              <w:br w:type="textWrapping"/>
            </w:r>
          </w:p>
        </w:tc>
        <w:tc>
          <w:tcPr>
            <w:cnfStyle w:val="000100100000"/>
            <w:tcW w:w="2978" w:type="dxa"/>
            <w:shd w:val="clear" w:color="auto" w:fill="auto"/>
            <w:vAlign w:val="center"/>
          </w:tcPr>
          <w:p w14:paraId="000000C3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60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% </w:t>
            </w:r>
          </w:p>
        </w:tc>
      </w:tr>
      <w:tr>
        <w:trPr>
          <w:trHeight w:val="1067" w:hRule="atLeast"/>
        </w:trPr>
        <w:tc>
          <w:tcPr>
            <w:cnfStyle w:val="001000010000"/>
            <w:tcW w:w="1985" w:type="dxa"/>
            <w:vMerge w:val="continue"/>
            <w:shd w:val="clear" w:color="auto" w:fill="auto"/>
            <w:vAlign w:val="center"/>
          </w:tcPr>
          <w:p w14:paraId="000000C4">
            <w:pPr>
              <w:spacing w:after="0" w:line="240" w:lineRule="auto"/>
              <w:ind w:right="-150"/>
              <w:rPr>
                <w:rFonts w:ascii="Cambria" w:cs="Times New Roman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10010000"/>
            <w:tcW w:w="2837" w:type="dxa"/>
            <w:shd w:val="clear" w:color="auto" w:fill="auto"/>
            <w:vAlign w:val="center"/>
          </w:tcPr>
          <w:p w14:paraId="000000C5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Segoe UI"/>
                <w:b w:val="off"/>
                <w:bCs w:val="off"/>
                <w:color w:val="000000"/>
                <w:sz w:val="18"/>
                <w:rtl w:val="off"/>
                <w:lang w:val="en-US"/>
              </w:rPr>
            </w:pPr>
            <w:r>
              <w:rPr>
                <w:rFonts w:ascii="Segoe UI"/>
                <w:b w:val="off"/>
                <w:bCs w:val="off"/>
                <w:color w:val="000000"/>
                <w:sz w:val="18"/>
                <w:rtl w:val="off"/>
                <w:lang w:val="en-US"/>
              </w:rPr>
              <w:t>Kreativitás és önálló gondolkodás</w:t>
            </w:r>
          </w:p>
          <w:p w14:paraId="000000C6">
            <w:pPr>
              <w:framePr w:w="0" w:h="0" w:vAnchor="margin" w:hAnchor="text" w:x="0" w:y="0"/>
              <w:numPr>
                <w:ilvl w:val="0"/>
                <w:numId w:val="12"/>
              </w:numPr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jc w:val="left"/>
              <w:rPr>
                <w:rFonts w:ascii="Segoe UI"/>
                <w:color w:val="000000"/>
                <w:sz w:val="18"/>
                <w:lang w:val="en-US"/>
              </w:rPr>
            </w:pPr>
            <w:r>
              <w:rPr>
                <w:rFonts w:ascii="Segoe UI"/>
                <w:b w:val="off"/>
                <w:bCs w:val="off"/>
                <w:color w:val="000000"/>
                <w:sz w:val="18"/>
                <w:rtl w:val="off"/>
                <w:lang w:val="en-US"/>
              </w:rPr>
              <w:t xml:space="preserve">hozzájárulás a közös alkotómunkához. </w:t>
            </w:r>
          </w:p>
          <w:p w14:paraId="000000C7">
            <w:pPr>
              <w:spacing w:after="0" w:line="24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cnfStyle w:val="000001010000"/>
            <w:tcW w:w="2692" w:type="dxa"/>
            <w:shd w:val="clear" w:color="auto" w:fill="auto"/>
            <w:vAlign w:val="center"/>
          </w:tcPr>
          <w:p w14:paraId="000000C8">
            <w:pPr>
              <w:spacing w:line="24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Segoe UI"/>
                <w:color w:val="000000"/>
                <w:sz w:val="18"/>
                <w:rtl w:val="off"/>
                <w:lang w:val="en-US"/>
              </w:rPr>
              <w:t xml:space="preserve"> szóbeli visszajelzés.</w:t>
            </w:r>
          </w:p>
        </w:tc>
        <w:tc>
          <w:tcPr>
            <w:cnfStyle w:val="000100010000"/>
            <w:tcW w:w="2978" w:type="dxa"/>
            <w:shd w:val="clear" w:color="auto" w:fill="auto"/>
            <w:vAlign w:val="center"/>
          </w:tcPr>
          <w:p w14:paraId="000000C9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40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%</w:t>
            </w:r>
          </w:p>
        </w:tc>
      </w:tr>
      <w:tr>
        <w:trPr>
          <w:trHeight w:val="284"/>
        </w:trPr>
        <w:tc>
          <w:tcPr>
            <w:cnfStyle w:val="001000100000"/>
            <w:tcW w:w="10492" w:type="dxa"/>
            <w:gridSpan w:val="4"/>
            <w:shd w:val="clear" w:color="auto" w:fill="auto"/>
            <w:vAlign w:val="center"/>
          </w:tcPr>
          <w:p w14:paraId="000000CA">
            <w:pPr>
              <w:spacing w:after="0" w:line="240" w:lineRule="auto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 xml:space="preserve">10.6 </w:t>
            </w:r>
            <w:r>
              <w:rPr>
                <w:rFonts w:ascii="Cambria" w:cs="Times New Roman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>
        <w:trPr>
          <w:trHeight w:val="1252"/>
        </w:trPr>
        <w:tc>
          <w:tcPr>
            <w:cnfStyle w:val="011000000000"/>
            <w:tcW w:w="10492" w:type="dxa"/>
            <w:gridSpan w:val="4"/>
            <w:shd w:val="clear" w:color="auto" w:fill="auto"/>
          </w:tcPr>
          <w:p w14:paraId="000000CB"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left"/>
              <w:rPr>
                <w:rFonts w:ascii="Cambria" w:cs="Times New Roman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rtl w:val="off"/>
                <w:lang w:val="en-US"/>
              </w:rPr>
              <w:t xml:space="preserve">Az órák legalább 80%-án való részvétel. </w:t>
            </w:r>
          </w:p>
        </w:tc>
      </w:tr>
    </w:tbl>
    <w:p w14:paraId="000000CC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CD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CE">
      <w:pPr>
        <w:spacing w:after="0" w:line="240" w:lineRule="auto"/>
        <w:ind w:hanging="425"/>
        <w:rPr>
          <w:rFonts w:ascii="Cambria" w:cs="Times New Roman" w:hAnsi="Cambria"/>
          <w:bCs/>
          <w:sz w:val="20"/>
          <w:szCs w:val="20"/>
          <w:lang w:val="hu-HU"/>
        </w:rPr>
      </w:pPr>
      <w:r>
        <w:rPr>
          <w:rFonts w:ascii="Cambria" w:cs="Times New Roman" w:hAnsi="Cambria"/>
          <w:b/>
          <w:sz w:val="20"/>
          <w:szCs w:val="20"/>
          <w:lang w:val="hu-HU"/>
        </w:rPr>
        <w:t xml:space="preserve">11. </w:t>
      </w:r>
      <w:r>
        <w:rPr>
          <w:rFonts w:ascii="Cambria" w:cs="Times New Roman" w:hAnsi="Cambria"/>
          <w:b/>
          <w:sz w:val="20"/>
          <w:szCs w:val="20"/>
          <w:lang w:val="hu-HU"/>
        </w:rPr>
        <w:t xml:space="preserve">SDG ikonok </w:t>
      </w:r>
      <w:r>
        <w:rPr>
          <w:rFonts w:ascii="Cambria" w:cs="Times New Roman" w:hAnsi="Cambria"/>
          <w:bCs/>
          <w:sz w:val="20"/>
          <w:szCs w:val="20"/>
          <w:lang w:val="hu-HU"/>
        </w:rPr>
        <w:t>(Fenntartható fejlődési célok/ Sustainable Development Goals)</w:t>
      </w:r>
      <w:r>
        <w:rPr>
          <w:rStyle w:val="Footnotereference"/>
          <w:rFonts w:ascii="Cambria" w:cs="Times New Roman" w:hAnsi="Cambria"/>
          <w:bCs/>
          <w:sz w:val="20"/>
          <w:szCs w:val="20"/>
          <w:lang w:val="hu-HU"/>
        </w:rPr>
        <w:footnoteReference w:id="0"/>
      </w:r>
    </w:p>
    <w:tbl>
      <w:tblPr>
        <w:tblStyle w:val="TableGrid"/>
        <w:tblW w:w="10538" w:type="dxa"/>
        <w:tblInd w:w="-431" w:type="dxa"/>
        <w:tblLayout w:type="fixed"/>
        <w:tblLook w:val="04A0"/>
      </w:tblPr>
      <w:tblGrid>
        <w:gridCol w:w="1165"/>
        <w:gridCol w:w="1171"/>
        <w:gridCol w:w="1171"/>
        <w:gridCol w:w="1170"/>
        <w:gridCol w:w="1171"/>
        <w:gridCol w:w="1171"/>
        <w:gridCol w:w="1170"/>
        <w:gridCol w:w="1171"/>
        <w:gridCol w:w="1171"/>
      </w:tblGrid>
      <w:tr>
        <w:trPr>
          <w:cnfStyle w:val="100000000000"/>
          <w:trHeight w:val="1026" w:hRule="atLeast"/>
        </w:trPr>
        <w:tc>
          <w:tcPr>
            <w:cnfStyle w:val="101000000000"/>
            <w:tcW w:w="1165" w:type="dxa"/>
            <w:vAlign w:val="center"/>
          </w:tcPr>
          <w:p w14:paraId="000000CF">
            <w:pPr>
              <w:rPr>
                <w:rFonts w:ascii="Cambria" w:hAnsi="Cambria"/>
                <w:lang w:val="hu-HU"/>
              </w:rPr>
            </w:pPr>
          </w:p>
        </w:tc>
        <w:tc>
          <w:tcPr>
            <w:cnfStyle w:val="100000000000"/>
            <w:tcW w:w="9326" w:type="dxa"/>
            <w:gridSpan w:val="8"/>
            <w:vAlign w:val="center"/>
          </w:tcPr>
          <w:p w14:paraId="000000D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alkalmazható.</w:t>
            </w:r>
          </w:p>
        </w:tc>
      </w:tr>
    </w:tbl>
    <w:p w14:paraId="000000D1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D2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p w14:paraId="000000D3">
      <w:pPr>
        <w:spacing w:after="0" w:line="240" w:lineRule="auto"/>
        <w:rPr>
          <w:rFonts w:ascii="Cambria" w:cs="Times New Roman" w:hAnsi="Cambria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4" w:space="0"/>
          <w:left w:val="none" w:sz="4" w:space="0"/>
          <w:bottom w:val="none" w:sz="4" w:space="0"/>
          <w:right w:val="none" w:sz="4" w:space="0"/>
          <w:insideH w:val="none" w:sz="4" w:space="0"/>
          <w:insideV w:val="none" w:sz="4" w:space="0"/>
        </w:tblBorders>
        <w:tblLayout w:type="fixed"/>
        <w:tblLook w:val="04A0"/>
      </w:tblPr>
      <w:tblGrid>
        <w:gridCol w:w="2553"/>
        <w:gridCol w:w="2971"/>
        <w:gridCol w:w="998"/>
        <w:gridCol w:w="3969"/>
      </w:tblGrid>
      <w:tr>
        <w:trPr>
          <w:trHeight w:val="1467"/>
          <w:jc w:val="center"/>
        </w:trPr>
        <w:tc>
          <w:tcPr>
            <w:cnfStyle w:val="101000000000"/>
            <w:tcW w:w="2553" w:type="dxa"/>
            <w:vAlign w:val="center"/>
          </w:tcPr>
          <w:p w14:paraId="000000D4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 xml:space="preserve">Kitöltés </w:t>
            </w:r>
            <w:r>
              <w:rPr>
                <w:rFonts w:ascii="Cambria" w:hAnsi="Cambria"/>
                <w:lang w:val="hu-HU"/>
              </w:rPr>
              <w:t>időpontja</w:t>
            </w:r>
            <w:r>
              <w:rPr>
                <w:rFonts w:ascii="Cambria" w:hAnsi="Cambria"/>
                <w:lang w:val="hu-HU"/>
              </w:rPr>
              <w:t>:</w:t>
            </w:r>
          </w:p>
          <w:p w14:paraId="000000D5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000000D6">
            <w:pPr>
              <w:rPr>
                <w:rFonts w:ascii="Cambria" w:hAnsi="Cambria"/>
                <w:lang w:val="hu-HU"/>
              </w:rPr>
            </w:pPr>
          </w:p>
        </w:tc>
        <w:tc>
          <w:tcPr>
            <w:cnfStyle w:val="100000000000"/>
            <w:tcW w:w="3969" w:type="dxa"/>
            <w:gridSpan w:val="2"/>
            <w:vAlign w:val="center"/>
          </w:tcPr>
          <w:p w14:paraId="000000D7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000000D8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</w:t>
            </w:r>
            <w:r>
              <w:rPr>
                <w:rFonts w:ascii="Cambria" w:hAnsi="Cambria"/>
                <w:lang w:val="hu-HU"/>
              </w:rPr>
              <w:t>lőadás felelőse</w:t>
            </w:r>
            <w:r>
              <w:rPr>
                <w:rFonts w:ascii="Cambria" w:hAnsi="Cambria"/>
                <w:lang w:val="hu-HU"/>
              </w:rPr>
              <w:t>:</w:t>
            </w:r>
          </w:p>
          <w:p w14:paraId="000000D9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cnfStyle w:val="100000000000"/>
            <w:tcW w:w="3969" w:type="dxa"/>
            <w:vAlign w:val="center"/>
          </w:tcPr>
          <w:p w14:paraId="000000DA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Szeminárium felelőse</w:t>
            </w:r>
            <w:r>
              <w:rPr>
                <w:rFonts w:ascii="Cambria" w:hAnsi="Cambria"/>
                <w:lang w:val="hu-HU"/>
              </w:rPr>
              <w:t>:</w:t>
            </w:r>
          </w:p>
          <w:p w14:paraId="000000DB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>
        <w:trPr>
          <w:trHeight w:val="766"/>
          <w:jc w:val="center"/>
        </w:trPr>
        <w:tc>
          <w:tcPr>
            <w:cnfStyle w:val="001000100000"/>
            <w:tcW w:w="2553" w:type="dxa"/>
            <w:vAlign w:val="center"/>
          </w:tcPr>
          <w:p w14:paraId="000000DC">
            <w:pPr>
              <w:rPr>
                <w:rFonts w:ascii="Cambria" w:hAnsi="Cambria"/>
                <w:lang w:val="hu-HU"/>
              </w:rPr>
            </w:pPr>
          </w:p>
        </w:tc>
        <w:tc>
          <w:tcPr>
            <w:cnfStyle w:val="000000100000"/>
            <w:tcW w:w="3969" w:type="dxa"/>
            <w:gridSpan w:val="2"/>
            <w:vAlign w:val="center"/>
          </w:tcPr>
          <w:p w14:paraId="000000DD">
            <w:pPr>
              <w:rPr>
                <w:rFonts w:ascii="Cambria" w:hAnsi="Cambria"/>
                <w:lang w:val="hu-HU"/>
              </w:rPr>
            </w:pPr>
          </w:p>
        </w:tc>
        <w:tc>
          <w:tcPr>
            <w:cnfStyle w:val="000000100000"/>
            <w:tcW w:w="3969" w:type="dxa"/>
            <w:vAlign w:val="center"/>
          </w:tcPr>
          <w:p w14:paraId="000000DE">
            <w:pPr>
              <w:rPr>
                <w:rFonts w:ascii="Cambria" w:hAnsi="Cambria"/>
                <w:lang w:val="hu-HU"/>
              </w:rPr>
            </w:pPr>
          </w:p>
        </w:tc>
      </w:tr>
      <w:tr>
        <w:trPr>
          <w:trHeight w:val="605"/>
          <w:jc w:val="center"/>
        </w:trPr>
        <w:tc>
          <w:tcPr>
            <w:cnfStyle w:val="001000010000"/>
            <w:tcW w:w="5524" w:type="dxa"/>
            <w:gridSpan w:val="2"/>
            <w:vAlign w:val="center"/>
          </w:tcPr>
          <w:p w14:paraId="000000DF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Az intézeti jóváhagyás dátuma</w:t>
            </w:r>
            <w:r>
              <w:rPr>
                <w:rFonts w:ascii="Cambria" w:hAnsi="Cambria"/>
                <w:lang w:val="hu-HU"/>
              </w:rPr>
              <w:t>:</w:t>
            </w:r>
          </w:p>
          <w:p w14:paraId="000000E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cnfStyle w:val="000000010000"/>
            <w:tcW w:w="4967" w:type="dxa"/>
            <w:gridSpan w:val="2"/>
            <w:vAlign w:val="center"/>
          </w:tcPr>
          <w:p w14:paraId="000000E1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</w:t>
            </w:r>
            <w:r>
              <w:rPr>
                <w:rFonts w:ascii="Cambria" w:hAnsi="Cambria"/>
                <w:lang w:val="hu-HU"/>
              </w:rPr>
              <w:t>:</w:t>
            </w:r>
          </w:p>
          <w:p w14:paraId="000000E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000000E3">
      <w:pPr>
        <w:spacing w:after="0" w:line="240" w:lineRule="auto"/>
        <w:rPr>
          <w:rFonts w:ascii="Cambria" w:cs="Times New Roman" w:hAnsi="Cambria"/>
          <w:sz w:val="22"/>
          <w:szCs w:val="22"/>
          <w:lang w:val="hu-HU"/>
        </w:rPr>
      </w:pPr>
    </w:p>
    <w:p w14:paraId="000000E4">
      <w:pPr>
        <w:spacing w:after="0" w:line="240" w:lineRule="auto"/>
        <w:rPr>
          <w:rFonts w:ascii="Cambria" w:cs="Times New Roman" w:hAnsi="Cambria"/>
          <w:sz w:val="22"/>
          <w:szCs w:val="22"/>
          <w:lang w:val="hu-HU"/>
        </w:rPr>
      </w:pPr>
    </w:p>
    <w:p w14:paraId="000000E5">
      <w:pPr>
        <w:rPr>
          <w:lang w:val="hu-HU"/>
        </w:rPr>
      </w:pPr>
    </w:p>
    <w:p w14:paraId="000000E6"/>
    <w:sectPr>
      <w:footnotePr/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</w:fonts>
</file>

<file path=word/footnotes.xml><?xml version="1.0" encoding="utf-8"?>
<w:footnotes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footnote w:id="0">
    <w:p w14:paraId="00000001">
      <w:pPr>
        <w:pStyle w:val="Footnotetext"/>
        <w:spacing w:after="0"/>
        <w:jc w:val="both"/>
        <w:rPr>
          <w:rFonts w:ascii="Cambria" w:hAnsi="Cambria"/>
          <w:lang w:val="hu-HU"/>
        </w:rPr>
      </w:pPr>
      <w:r>
        <w:rPr>
          <w:rStyle w:val="Footnotereference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</w:t>
      </w:r>
      <w:r>
        <w:rPr>
          <w:rFonts w:ascii="Cambria" w:hAnsi="Cambria"/>
          <w:lang w:val="hu-HU"/>
        </w:rPr>
        <w:t>Csak azokat a</w:t>
      </w:r>
      <w:r>
        <w:rPr>
          <w:rFonts w:ascii="Cambria" w:hAnsi="Cambria"/>
          <w:lang w:val="hu-HU"/>
        </w:rPr>
        <w:t>z</w:t>
      </w:r>
      <w:r>
        <w:rPr>
          <w:rFonts w:ascii="Cambria" w:hAnsi="Cambria"/>
          <w:lang w:val="hu-HU"/>
        </w:rPr>
        <w:t xml:space="preserve"> ikonokat tartsa meg, amelyek az </w:t>
      </w:r>
      <w:r>
        <w:fldChar w:fldCharType="begin"/>
      </w:r>
      <w:r>
        <w:instrText xml:space="preserve">HYPERLINK "https://green.ubbcluj.ro/procedura-de-aplicare-a-etichetelor-odd/" </w:instrText>
      </w:r>
      <w:r>
        <w:fldChar w:fldCharType="separate"/>
      </w:r>
      <w:r>
        <w:rPr>
          <w:rStyle w:val="Hyperlink"/>
          <w:rFonts w:ascii="Cambria" w:hAnsi="Cambria"/>
          <w:i/>
          <w:iCs/>
          <w:lang w:val="hu-HU"/>
        </w:rPr>
        <w:t>SDG-ikonoknak az egyetemi folyamatban</w:t>
      </w:r>
      <w:r>
        <w:fldChar w:fldCharType="end"/>
      </w:r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>
        <w:rPr>
          <w:rFonts w:ascii="Cambria" w:hAnsi="Cambria"/>
          <w:lang w:val="hu-HU"/>
        </w:rPr>
        <w:t>e</w:t>
      </w:r>
      <w:r>
        <w:rPr>
          <w:rFonts w:ascii="Cambria" w:hAnsi="Cambria"/>
          <w:lang w:val="hu-HU"/>
        </w:rPr>
        <w:t>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/>
  <w:abstractNum w:abstractNumId="2"/>
  <w:abstractNum w:abstractNumId="3"/>
  <w:abstractNum w:abstractNumId="4"/>
  <w:abstractNum w:abstractNumId="5"/>
  <w:abstractNum w:abstractNumId="6"/>
  <w:abstractNum w:abstractNumId="7"/>
  <w:abstractNum w:abstractNumId="8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  <w:lvlOverride w:ilvl="0">
      <w:lvl w:ilvl="0" w:tentative="1">
        <w:numFmt w:val="bullet"/>
        <w:suff w:val="tab"/>
        <w:lvlText w:val="·"/>
        <w:rPr/>
      </w:lvl>
    </w:lvlOverride>
  </w:num>
  <w:num w:numId="3">
    <w:abstractNumId w:val="2"/>
    <w:lvlOverride w:ilvl="0">
      <w:lvl w:ilvl="0" w:tentative="1">
        <w:numFmt w:val="bullet"/>
        <w:suff w:val="tab"/>
        <w:lvlText w:val="·"/>
        <w:rPr/>
      </w:lvl>
    </w:lvlOverride>
  </w:num>
  <w:num w:numId="4">
    <w:abstractNumId w:val="3"/>
    <w:lvlOverride w:ilvl="0">
      <w:lvl w:ilvl="0" w:tentative="1">
        <w:numFmt w:val="bullet"/>
        <w:suff w:val="tab"/>
        <w:lvlText w:val="·"/>
        <w:rPr/>
      </w:lvl>
    </w:lvlOverride>
  </w:num>
  <w:num w:numId="5">
    <w:abstractNumId w:val="4"/>
    <w:lvlOverride w:ilvl="0">
      <w:lvl w:ilvl="0" w:tentative="1">
        <w:numFmt w:val="bullet"/>
        <w:suff w:val="tab"/>
        <w:lvlText w:val="·"/>
        <w:rPr/>
      </w:lvl>
    </w:lvlOverride>
  </w:num>
  <w:num w:numId="6">
    <w:abstractNumId w:val="5"/>
    <w:lvlOverride w:ilvl="0">
      <w:lvl w:ilvl="0" w:tentative="1">
        <w:numFmt w:val="bullet"/>
        <w:suff w:val="tab"/>
        <w:lvlText w:val="·"/>
        <w:rPr/>
      </w:lvl>
    </w:lvlOverride>
  </w:num>
  <w:num w:numId="7">
    <w:abstractNumId w:val="6"/>
    <w:lvlOverride w:ilvl="0">
      <w:lvl w:ilvl="0" w:tentative="1">
        <w:numFmt w:val="bullet"/>
        <w:suff w:val="tab"/>
        <w:lvlText w:val="·"/>
        <w:rPr/>
      </w:lvl>
    </w:lvlOverride>
  </w:num>
  <w:num w:numId="8">
    <w:abstractNumId w:val="7"/>
    <w:lvlOverride w:ilvl="0">
      <w:lvl w:ilvl="0" w:tentative="1">
        <w:numFmt w:val="bullet"/>
        <w:suff w:val="tab"/>
        <w:lvlText w:val="·"/>
        <w:rPr/>
      </w:lvl>
    </w:lvlOverride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footnotePr/>
  <w:endnotePr/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99"/>
    <w:pPr>
      <w:spacing w:after="0" w:line="240" w:lineRule="auto"/>
    </w:pPr>
    <w:rPr>
      <w:rFonts w:ascii="Calibri" w:cs="Times New Roman" w:eastAsia="Calibri" w:hAnsi="Calibri"/>
      <w:sz w:val="20"/>
      <w:szCs w:val="20"/>
      <w:lang w:val="ro-RO" w:eastAsia="ro-R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theme" Target="theme/theme1.xml"/><Relationship Id="rId6" Type="http://schemas.openxmlformats.org/officeDocument/2006/relationships/settings" Target="settings.xml"/><Relationship Id="rId5" Type="http://schemas.openxmlformats.org/officeDocument/2006/relationships/footnotes" Target="footnot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738132-6EE6-493E-B909-59E911A71636}"/>
</file>

<file path=customXml/itemProps2.xml><?xml version="1.0" encoding="utf-8"?>
<ds:datastoreItem xmlns:ds="http://schemas.openxmlformats.org/officeDocument/2006/customXml" ds:itemID="{9310DF04-002A-4217-956B-BF2BCD217BD9}"/>
</file>

<file path=customXml/itemProps3.xml><?xml version="1.0" encoding="utf-8"?>
<ds:datastoreItem xmlns:ds="http://schemas.openxmlformats.org/officeDocument/2006/customXml" ds:itemID="{C60ABA84-D40A-463A-AC7F-5CAA166BEB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Emőke Pál</cp:lastModifiedB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